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ErbStG 1974 — Schenkungen unter Lebenden</w:t>
      </w:r>
    </w:p>
    <w:p>
      <w:r>
        <w:rPr>
          <w:color w:val="555555"/>
          <w:sz w:val="18"/>
        </w:rPr>
        <w:t xml:space="preserve">Erbschaftsteuer- und Schenkungsteuergesetz</w:t>
      </w:r>
    </w:p>
    <w:p>
      <w:r>
        <w:rPr>
          <w:color w:val="555555"/>
          <w:sz w:val="18"/>
        </w:rPr>
        <w:t xml:space="preserve">Stand: 04.04.2024 (konsolidierte Textfassung, kein amtliches Inkrafttretensdatum)</w:t>
      </w:r>
    </w:p>
    <w:p>
      <w:r>
        <w:t xml:space="preserve">(1) Als Schenkungen unter Lebenden gelten</w:t>
      </w:r>
    </w:p>
    <w:p>
      <w:pPr>
        <w:ind w:left="420"/>
      </w:pPr>
      <w:r>
        <w:t xml:space="preserve">1. jede freigebige Zuwendung unter Lebenden, soweit der Bedachte durch sie auf Kosten des Zuwendenden bereichert wird;</w:t>
      </w:r>
    </w:p>
    <w:p>
      <w:pPr>
        <w:ind w:left="420"/>
      </w:pPr>
      <w:r>
        <w:t xml:space="preserve">2. was infolge Vollziehung einer von dem Schenker angeordneten Auflage oder infolge Erfüllung einer einem Rechtsgeschäft unter Lebenden beigefügten Bedingung ohne entsprechende Gegenleistung erlangt wird, es sei denn, daß eine einheitliche Zweckzuwendung vorliegt;</w:t>
      </w:r>
    </w:p>
    <w:p>
      <w:pPr>
        <w:ind w:left="420"/>
      </w:pPr>
      <w:r>
        <w:t xml:space="preserve">3. was jemand dadurch erlangt, daß bei Genehmigung einer Schenkung Leistungen an andere Personen angeordnet oder zur Erlangung der Genehmigung freiwillig übernommen werden;</w:t>
      </w:r>
    </w:p>
    <w:p>
      <w:pPr>
        <w:ind w:left="420"/>
      </w:pPr>
      <w:r>
        <w:t xml:space="preserve">4. die Bereicherung, die ein Ehegatte oder ein Lebenspartner bei Vereinbarung der Gütergemeinschaft (§ 1415 des Bürgerlichen Gesetzbuchs) erfährt;</w:t>
      </w:r>
    </w:p>
    <w:p>
      <w:pPr>
        <w:ind w:left="420"/>
      </w:pPr>
      <w:r>
        <w:t xml:space="preserve">5. was als Abfindung für einen Erbverzicht (§§ 2346 und 2352 des Bürgerlichen Gesetzbuchs) gewährt wird;</w:t>
      </w:r>
    </w:p>
    <w:p>
      <w:pPr>
        <w:ind w:left="420"/>
      </w:pPr>
      <w:r>
        <w:t xml:space="preserve">6. (weggefallen)</w:t>
      </w:r>
    </w:p>
    <w:p>
      <w:pPr>
        <w:ind w:left="420"/>
      </w:pPr>
      <w:r>
        <w:t xml:space="preserve">7. was ein Vorerbe dem Nacherben mit Rücksicht auf die angeordnete Nacherbschaft vor ihrem Eintritt herausgibt;</w:t>
      </w:r>
    </w:p>
    <w:p>
      <w:pPr>
        <w:ind w:left="420"/>
      </w:pPr>
      <w:r>
        <w:t xml:space="preserve">8. der Übergang von Vermögen auf Grund eines Stiftungsgeschäfts unter Lebenden. Dem steht gleich die Bildung oder Ausstattung einer Vermögensmasse ausländischen Rechts, deren Zweck auf die Bindung von Vermögen gerichtet ist;</w:t>
      </w:r>
    </w:p>
    <w:p>
      <w:pPr>
        <w:ind w:left="420"/>
      </w:pPr>
      <w:r>
        <w:t xml:space="preserve">9. was bei Auflösung, Aufhebung, Zulegung oder Zusammenlegung von Stiftungen oder bei Auflösung eines Vereins, dessen Zweck auf die Bindung von Vermögen gerichtet ist, erworben wird. Dem steht gleich der Erwerb bei Auflösung einer Vermögensmasse ausländischen Rechts, deren Zweck auf die Bindung von Vermögen gerichtet ist, sowie der Erwerb durch Zwischenberechtigte während des Bestehens der Vermögensmasse. Wie eine Auflösung wird auch der Formwechsel eines rechtsfähigen Vereins, dessen Zweck wesentlich im Interesse einer Familie oder bestimmter Familien auf die Bindung von Vermögen gerichtet ist, in eine Kapitalgesellschaft behandelt;</w:t>
      </w:r>
    </w:p>
    <w:p>
      <w:pPr>
        <w:ind w:left="420"/>
      </w:pPr>
      <w:r>
        <w:t xml:space="preserve">10. was als Abfindung für aufschiebend bedingt, betagt oder befristet erworbene Ansprüche, soweit es sich nicht um einen Fall des § 3 Abs. 2 Nr. 5 handelt, vor dem Zeitpunkt des Eintritts der Bedingung oder des Ereignisses gewährt wird.</w:t>
      </w:r>
    </w:p>
    <w:p>
      <w:r>
        <w:t xml:space="preserve">(2) Im Fall des Absatzes 1 Nr. 7 ist der Versteuerung auf Antrag das Verhältnis des Nacherben zum Erblasser zugrunde zu legen. § 6 Abs. 2 Satz 3 bis 5 gilt entsprechend.</w:t>
      </w:r>
    </w:p>
    <w:p>
      <w:r>
        <w:t xml:space="preserve">(3) Gegenleistungen, die nicht in Geld veranschlagt werden können, werden bei der Feststellung, ob eine Bereicherung vorliegt, nicht berücksichtigt.</w:t>
      </w:r>
    </w:p>
    <w:p>
      <w:r>
        <w:t xml:space="preserve">(4) Die Steuerpflicht einer Schenkung wird nicht dadurch ausgeschlossen, daß sie zur Belohnung oder unter einer Auflage gemacht oder in die Form eines lästigen Vertrags gekleidet wird.</w:t>
      </w:r>
    </w:p>
    <w:p>
      <w:r>
        <w:t xml:space="preserve">(5) Ist Gegenstand der Schenkung eine Beteiligung an einer Personengesellschaft, in deren Gesellschaftsvertrag bestimmt ist, daß der neue Gesellschafter bei Auflösung der Gesellschaft oder im Fall eines vorherigen Ausscheidens nur den Buchwert seines Kapitalanteils erhält, werden diese Bestimmungen bei der Feststellung der Bereicherung nicht berücksichtigt. Soweit die Bereicherung den Buchwert des Kapitalanteils übersteigt, gilt sie als auflösend bedingt erworben.</w:t>
      </w:r>
    </w:p>
    <w:p>
      <w:r>
        <w:t xml:space="preserve">(6) Wird eine Beteiligung an einer Personengesellschaft mit einer Gewinnbeteiligung ausgestattet, die insbesondere der Kapitaleinlage, der Arbeits- oder der sonstigen Leistung des Gesellschafters für die Gesellschaft nicht entspricht oder die einem fremden Dritten üblicherweise nicht eingeräumt würde, gilt das Übermaß an Gewinnbeteiligung als selbständige Schenkung, die mit dem Kapitalwert anzusetzen ist.</w:t>
      </w:r>
    </w:p>
    <w:p>
      <w:r>
        <w:t xml:space="preserve">(7) Als Schenkung gilt auch der auf dem Ausscheiden eines Gesellschafters beruhende Übergang des Anteils oder des Teils eines Anteils eines Gesellschafters einer Personengesellschaft oder Kapitalgesellschaft auf die anderen Gesellschafter oder die Gesellschaft, soweit der Wert, der sich für seinen Anteil zur Zeit seines Ausscheidens nach § 12 ergibt, den Abfindungsanspruch übersteigt. Wird auf Grund einer Regelung im Gesellschaftsvertrag einer Gesellschaft mit beschränkter Haftung der Geschäftsanteil eines Gesellschafters bei dessen Ausscheiden eingezogen und übersteigt der sich nach § 12 ergebende Wert seines Anteils zur Zeit seines Ausscheidens den Abfindungsanspruch, gilt die insoweit bewirkte Werterhöhung der Anteile der verbleibenden Gesellschafter als Schenkung des ausgeschiedenen Gesellschafters. Bei Übertragungen im Sinne des § 10 Abs. 10 gelten die Sätze 1 und 2 sinngemäß.</w:t>
      </w:r>
    </w:p>
    <w:p>
      <w:r>
        <w:t xml:space="preserve">(8) Als Schenkung gilt auch die Werterhöhung von Anteilen an einer Kapitalgesellschaft, die eine an der Gesellschaft unmittelbar oder mittelbar beteiligte natürliche Person oder Stiftung (Bedachte) durch die Leistung einer anderen Person (Zuwendender) an die Gesellschaft erlangt. Freigebig sind auch Zuwendungen zwischen Kapitalgesellschaften, soweit sie in der Absicht getätigt werden, Gesellschafter zu bereichern und soweit an diesen Gesellschaften nicht unmittelbar oder mittelbar dieselben Gesellschafter zu gleichen Anteilen beteiligt sind. Die Sätze 1 und 2 gelten außer für Kapitalgesellschaften auch für Genossenschaften.</w:t>
      </w:r>
    </w:p>
    <w:p>
      <w:r>
        <w:t xml:space="preserve">(9) Als Schenkung gilt auch die Werterhöhung einer Beteiligung eines persönlich haftenden Gesellschafters einer Kommanditgesellschaft auf Aktien, die eine an der Gesellschaft unmittelbar oder mittelbar beteiligte natürliche Person oder Stiftung (Bedachte) durch die Leistung einer anderen Person (Zuwendender) an die Gesellschaft erlangt. Absatz 8 Satz 2 ist entsprechend anzuwenden.</w:t>
      </w:r>
    </w:p>
    <w:p>
      <w:r>
        <w:rPr>
          <w:color w:val="555555"/>
          <w:sz w:val="17"/>
        </w:rPr>
        <w:t xml:space="preserve">Zitiervorschlag: § 7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