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36 ErbStG 1974 — Ermächtigungen</w:t>
      </w:r>
    </w:p>
    <w:p>
      <w:r>
        <w:rPr>
          <w:color w:val="555555"/>
          <w:sz w:val="18"/>
        </w:rPr>
        <w:t xml:space="preserve">Erbschaftsteuer- und Schenkungsteuergesetz</w:t>
      </w:r>
    </w:p>
    <w:p>
      <w:r>
        <w:rPr>
          <w:color w:val="555555"/>
          <w:sz w:val="18"/>
        </w:rPr>
        <w:t xml:space="preserve">Stand: 10.06.2019 (konsolidierte Textfassung, kein amtliches Inkrafttretensdatum)</w:t>
      </w:r>
    </w:p>
    <w:p>
      <w:r>
        <w:t xml:space="preserve">(1) Die Bundesregierung wird ermächtigt, mit Zustimmung des Bundesrates</w:t>
      </w:r>
    </w:p>
    <w:p>
      <w:pPr>
        <w:ind w:left="420"/>
      </w:pPr>
      <w:r>
        <w:t xml:space="preserve">1. zur Durchführung dieses Gesetzes Rechtsverordnungen zu erlassen, soweit dies zur Wahrung der Gleichmäßigkeit bei der Besteuerung, zur Beseitigung von Unbilligkeiten in Härtefällen oder zur Vereinfachung des Besteuerungsverfahrens erforderlich ist, und zwar über</w:t>
      </w:r>
    </w:p>
    <w:p>
      <w:pPr>
        <w:ind w:left="780"/>
      </w:pPr>
      <w:r>
        <w:t xml:space="preserve">a) die Abgrenzung der Steuerpflicht,</w:t>
      </w:r>
    </w:p>
    <w:p>
      <w:pPr>
        <w:ind w:left="780"/>
      </w:pPr>
      <w:r>
        <w:t xml:space="preserve">b) die Feststellung und die Bewertung des Erwerbs von Todes wegen, der Schenkungen unter Lebenden und der Zweckzuwendungen, auch soweit es sich um den Inhalt von Schließfächern handelt,</w:t>
      </w:r>
    </w:p>
    <w:p>
      <w:pPr>
        <w:ind w:left="780"/>
      </w:pPr>
      <w:r>
        <w:t xml:space="preserve">c) die Steuerfestsetzung, die Anwendung der Tarifvorschriften und die Steuerentrichtung,</w:t>
      </w:r>
    </w:p>
    <w:p>
      <w:pPr>
        <w:ind w:left="780"/>
      </w:pPr>
      <w:r>
        <w:t xml:space="preserve">d) die Anzeige- und Erklärungspflicht der Steuerpflichtigen,</w:t>
      </w:r>
    </w:p>
    <w:p>
      <w:pPr>
        <w:ind w:left="780"/>
      </w:pPr>
      <w:r>
        <w:t xml:space="preserve">e) die Anzeige-, Mitteilungs- und Übersendungspflichten der Gerichte, Behörden, Beamten und Notare, der Versicherungsunternehmen, der Vereine und Berufsverbände, die mit einem Versicherungsunternehmen die Zahlung einer Versicherungssumme für den Fall des Todes ihrer Mitglieder vereinbart haben, der geschäftsmäßigen Verwahrer und Verwalter fremden Vermögens, auch soweit es sich um in ihrem Gewahrsam befindliche Vermögensgegenstände des Erblassers handelt, sowie derjenigen, die auf den Namen lautende Aktien oder Schuldverschreibungen ausgegeben haben;</w:t>
      </w:r>
    </w:p>
    <w:p>
      <w:pPr>
        <w:ind w:left="420"/>
      </w:pPr>
      <w:r>
        <w:t xml:space="preserve">2. Vorschriften durch Rechtsverordnung zu erlassen über die sich aus der Aufhebung oder Änderung von Vorschriften dieses Gesetzes ergebenden Rechtsfolgen, soweit dies zur Wahrung der Gleichmäßigkeit der Besteuerung oder zur Beseitigung von Unbilligkeiten in Härtefällen erforderlich ist.</w:t>
      </w:r>
    </w:p>
    <w:p>
      <w:r>
        <w:t xml:space="preserve">(2) Das Bundesministerium der Finanzen wird ermächtigt, den Wortlaut dieses Gesetzes und der zu diesem Gesetz erlassenen Durchführungsverordnung in der jeweils geltenden Fassung satzweise numeriert mit neuem Datum und neuer Paragraphenfolge bekanntzumachen und dabei Unstimmigkeiten des Wortlauts zu beseitigen.</w:t>
      </w:r>
    </w:p>
    <w:p>
      <w:r>
        <w:rPr>
          <w:color w:val="555555"/>
          <w:sz w:val="17"/>
        </w:rPr>
        <w:t xml:space="preserve">Zitiervorschlag: § 36 ErbStG 1974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https://recht.nulegal.eu/gesetze/ErbStG%201974/36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