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ErbStG 1974 — Rechtsfähige Personengesellschaft</w:t>
      </w:r>
    </w:p>
    <w:p>
      <w:r>
        <w:rPr>
          <w:color w:val="555555"/>
          <w:sz w:val="18"/>
        </w:rPr>
        <w:t xml:space="preserve">Erbschaftsteuer- und Schenkungsteuergesetz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Rechtsfähige Personengesellschaften (§ 14a Absatz 2 Nummer 2 der Abgabenordnung) gelten für Zwecke der Erbschaft- und Schenkungsteuer als Gesamthand und deren Vermögen als Gesamthandsvermögen. Bei einem Erwerb nach § 1 Absatz 1 Nummer 1 bis 3 durch eine rechtsfähige Personengesellschaft gelten deren Gesellschafter als Erwerber. Bei einer Zuwendung durch eine rechtsfähige Personengesellschaft gelten deren Gesellschafter als Zuwendende.</w:t>
      </w:r>
    </w:p>
    <w:p>
      <w:r>
        <w:rPr>
          <w:color w:val="555555"/>
          <w:sz w:val="17"/>
        </w:rPr>
        <w:t xml:space="preserve">Zitiervorschlag: § 2a ErbStG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https://recht.nulegal.eu/gesetze/ErbStG%201974/2a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