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ErbStG 1974 — Verschonungsbedarfsprüfung</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Überschreitet der Erwerb von begünstigtem Vermögen im Sinne des § 13b Absatz 2 die Grenze des § 13a Absatz 1 Satz 1 von 26 Millionen Euro, ist die auf das begünstigte Vermögen entfallende Steuer auf Antrag des Erwerbers zu erlassen, soweit er nachweist, dass er persönlich nicht in der Lage ist, die Steuer aus seinem verfügbaren Vermögen im Sinne des Absatzes 2 zu begleichen. Ein Erwerber kann den Erlass nicht in Anspruch nehmen, soweit er begünstigtes Vermögen im Sinne des § 13b Absatz 2 auf Grund einer letztwilligen Verfügung des Erblassers oder einer rechtsgeschäftlichen Verfügung des Erblassers oder Schenkers auf einen Dritten übertragen muss. Satz 2 gilt entsprechend, wenn ein Erbe im Rahmen der Teilung des Nachlasses begünstigtes Vermögen auf einen Miterben überträgt. Überträgt ein Erbe erworbenes begünstigtes Vermögen im Sinne des § 13b Absatz 2 im Rahmen der Teilung des Nachlasses auf einen Dritten und gibt der Dritte dabei diesem Erwerber nicht begünstigtes Vermögen hin, das er vom Erblasser erworben hat, erhöht sich insoweit der Wert des begünstigten Vermögens des Dritten um den Wert des hingegebenen Vermögens, höchstens jedoch um den Wert des übertragenen Vermögens.</w:t>
      </w:r>
    </w:p>
    <w:p>
      <w:r>
        <w:t xml:space="preserve">(2) Zu dem verfügbaren Vermögen gehören 50 Prozent der Summe der gemeinen Werte des</w:t>
      </w:r>
    </w:p>
    <w:p>
      <w:pPr>
        <w:ind w:left="420"/>
      </w:pPr>
      <w:r>
        <w:t xml:space="preserve">1. mit der Erbschaft oder Schenkung zugleich übergegangenen Vermögens, das nicht zum begünstigten Vermögen im Sinne des § 13b Absatz 2 gehört, und</w:t>
      </w:r>
    </w:p>
    <w:p>
      <w:pPr>
        <w:ind w:left="420"/>
      </w:pPr>
      <w:r>
        <w:t xml:space="preserve">2. dem Erwerber im Zeitpunkt der Entstehung der Steuer (§ 9) gehörenden Vermögens, das nicht zum begünstigten Vermögen im Sinne des § 13b Absatz 2 gehören würde.</w:t>
      </w:r>
    </w:p>
    <w:p>
      <w:r>
        <w:t xml:space="preserve">(3) Die nach Anwendung des Absatzes 1 Satz 1 verbleibende Steuer kann ganz oder teilweise bis zu sechs Monate gestundet werden, wenn die Einziehung bei Fälligkeit eine erhebliche Härte für den Erwerber bedeuten würde und der Anspruch nicht gefährdet erscheint. Eine erhebliche Härte liegt insbesondere vor, wenn der Erwerber einen Kredit aufnehmen oder verfügbares Vermögen im Sinne des Absatzes 2 veräußern muss, um die Steuer entrichten zu können. Die §§ 234 und 238 der Abgabenordnung sind anzuwenden. § 222 der Abgabenordnung und § 28 bleiben unberührt.</w:t>
      </w:r>
    </w:p>
    <w:p>
      <w:r>
        <w:t xml:space="preserve">(4) Der Erlass der Steuer nach Absatz 1 Satz 1 steht unter der auflösenden Bedingung, dass</w:t>
      </w:r>
    </w:p>
    <w:p>
      <w:pPr>
        <w:ind w:left="420"/>
      </w:pPr>
      <w:r>
        <w:t xml:space="preserve">1. die Summe der maßgebenden jährlichen Lohnsummen des Betriebs, bei Beteiligungen an einer Personengesellschaft oder Anteilen an einer Kapitalgesellschaft des Betriebs der jeweiligen Gesellschaft, innerhalb von sieben Jahren nach dem Erwerb (Lohnsummenfrist) insgesamt die Mindestlohnsumme nach § 13a Absatz 10 Nummer 3 bis 5 unterschreitet. § 13a Absatz 3 Satz 2 und 6 bis 13 gilt entsprechend. Unterschreitet die Summe der maßgebenden jährlichen Lohnsummen die Mindestlohnsumme, vermindert sich der nach Absatz 1 Satz 1 zu gewährende Erlass der Steuer mit Wirkung für die Vergangenheit in demselben prozentualen Umfang, wie die Mindestlohnsumme unterschritten wird;</w:t>
      </w:r>
    </w:p>
    <w:p>
      <w:pPr>
        <w:ind w:left="420"/>
      </w:pPr>
      <w:r>
        <w:t xml:space="preserve">2. der Erwerber innerhalb von sieben Jahren (Behaltensfrist) gegen die Behaltensbedingungen entsprechend § 13a Absatz 6 Satz 1 verstößt. § 13a Absatz 6 Satz 2 bis 4 gilt entsprechend;</w:t>
      </w:r>
    </w:p>
    <w:p>
      <w:pPr>
        <w:ind w:left="420"/>
      </w:pPr>
      <w:r>
        <w:t xml:space="preserve">3. der Erwerber innerhalb von zehn Jahren nach dem Zeitpunkt der Entstehung der Steuer (§ 9) weiteres Vermögen durch Schenkung oder von Todes wegen erhält, das verfügbares Vermögen im Sinne des Absatzes 2 darstellt. Der Erwerber kann erneut einen Antrag nach Absatz 1 stellen. Das verfügbare Vermögen nach Absatz 2 ist um 50 Prozent des gemeinen Werts des weiteren erworbenen Vermögens zu erhöhen;</w:t>
      </w:r>
    </w:p>
    <w:p>
      <w:pPr>
        <w:ind w:left="420"/>
      </w:pPr>
      <w:r>
        <w:t xml:space="preserve">4. die den Erwerb oder Teile des Erwerbs oder das in Nummer 3 oder Absatz 2 Nummer 2 bezeichnete Vermögen oder Teile dieses Vermögens betreffenden Feststellungsbescheide im Sinne des § 151 Absatz 1 Satz 1 des Bewertungsgesetzes oder des § 13b Absatz 10 Satz 1 geändert werden oder erstmals ergehen und die festgestellten Werte von den dem Erlass zugrunde gelegten Werten abweichen. Gleiches gilt im Fall der Aufhebung eines Feststellungsbescheids. Der Erwerber kann erneut einen Antrag nach Absatz 1 stellen;</w:t>
      </w:r>
    </w:p>
    <w:p>
      <w:pPr>
        <w:ind w:left="420"/>
      </w:pPr>
      <w:r>
        <w:t xml:space="preserve">5. die dem Erlass zugrunde liegende Steuerfestsetzung geändert wird und dabei von den dem Erlass zugrunde gelegten Werten abgewichen wird. Der Erwerber kann erneut einen Antrag nach Absatz 1 stellen;</w:t>
      </w:r>
    </w:p>
    <w:p>
      <w:pPr>
        <w:ind w:left="420"/>
      </w:pPr>
      <w:r>
        <w:t xml:space="preserve">6. der Erlass gemäß Absatz 1 Satz 2 oder 3 ganz oder teilweise nicht mehr in Anspruch genommen werden kann. Der Erwerber kann erneut einen Antrag nach Absatz 1 stellen.</w:t>
      </w:r>
    </w:p>
    <w:p>
      <w:r>
        <w:t xml:space="preserve">Der Verwaltungsakt nach Absatz 1 Satz 1 steht unter dem Vorbehalt des Widerrufs (§ 120 Absatz 2 Nummer 3 der Abgabenordnung). Der Verwaltungsakt über den Erlass nach Absatz 1 Satz 1 ist bei Eintritt der auflösenden Bedingung nach Satz 1 mit Wirkung für die Vergangenheit ganz oder teilweise zu widerrufen; § 131 Absatz 4 der Abgabenordnung gilt entsprechend.</w:t>
      </w:r>
    </w:p>
    <w:p>
      <w:r>
        <w:t xml:space="preserve">(5) Der Erwerber ist verpflichtet, dem für die Erbschaftsteuer zuständigen Finanzamt innerhalb einer Frist von sechs Monaten nach Ablauf der Lohnsummenfrist das Unterschreiten der Mindestlohnsumme (Absatz 4 Satz 1 Nummer 1) anzuzeigen. In den Fällen des Absatzes 4 Satz 1 Nummer 2 und 3 ist der Erwerber verpflichtet, dem für die Erbschaftsteuer zuständigen Finanzamt den entsprechenden Sachverhalt innerhalb einer Frist von einem Monat, nachdem der jeweilige Tatbestand verwirklicht wurde, anzuzeigen. Die Anzeige ist eine Steuererklärung im Sinne der Abgabenordnung. Sie ist schriftlich abzugeben. Die Anzeige hat auch dann zu erfolgen, wenn der Vorgang nur teilweise zum Widerruf des Verwaltungsaktes nach Absatz 4 führt.</w:t>
      </w:r>
    </w:p>
    <w:p>
      <w:r>
        <w:t xml:space="preserve">(6) Die Zahlungsverjährungsfrist für die nach Anwendung des Absatzes 1 Satz 1 verbleibende Steuer endet nicht vor dem Ablauf des fünften Jahres, nachdem das für die Erbschaftsteuer zuständige Finanzamt von dem Unterschreiten der Mindestlohnsumme (Absatz 4 Satz 1 Nummer 1) oder dem Verwirklichen eines Tatbestands nach Absatz 4 Satz 1 Nummer 2, 3 und 6 Kenntnis erlangt. In den Fällen des Absatzes 4 Satz 1 Nummer 4 und 5 endet die Zahlungsverjährungsfrist nicht vor dem Ablauf des zweiten Jahres nach Bekanntgabe des Feststellungsbescheids oder des Steuerbescheids.</w:t>
      </w:r>
    </w:p>
    <w:p>
      <w:r>
        <w:t xml:space="preserve">(7) Die Absätze 1 bis 6 gelten in den Fällen des § 1 Absatz 1 Nummer 4 entsprechend.</w:t>
      </w:r>
    </w:p>
    <w:p>
      <w:r>
        <w:t xml:space="preserve">(8) Die Absätze 1 bis 7 gelten nicht, wenn ein Antrag nach § 13c gestellt wurde.</w:t>
      </w:r>
    </w:p>
    <w:p>
      <w:r>
        <w:rPr>
          <w:color w:val="555555"/>
          <w:sz w:val="17"/>
        </w:rPr>
        <w:t xml:space="preserve">Zitiervorschlag: § 28a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