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ErbStG 1974 — Besteuerung von Renten, Nutzungen und Leistungen</w:t>
      </w:r>
    </w:p>
    <w:p>
      <w:r>
        <w:rPr>
          <w:color w:val="555555"/>
          <w:sz w:val="18"/>
        </w:rPr>
        <w:t xml:space="preserve">Erbschaftsteuer- und Schenkungsteuergesetz</w:t>
      </w:r>
    </w:p>
    <w:p>
      <w:r>
        <w:rPr>
          <w:color w:val="555555"/>
          <w:sz w:val="18"/>
        </w:rPr>
        <w:t xml:space="preserve">Stand: 10.06.2019 (konsolidierte Textfassung, kein amtliches Inkrafttretensdatum)</w:t>
      </w:r>
    </w:p>
    <w:p>
      <w:r>
        <w:t xml:space="preserve">(1) Steuern, die von dem Kapitalwert von Renten oder anderen wiederkehrenden Nutzungen oder Leistungen zu entrichten sind, können nach Wahl des Erwerbers statt vom Kapitalwert jährlich im voraus von dem Jahreswert entrichtet werden. Die Steuer wird in diesem Fall nach dem Steuersatz erhoben, der sich nach § 19 für den gesamten Erwerb einschließlich des Kapitalwerts der Renten oder anderen wiederkehrenden Nutzungen oder Leistungen ergibt.</w:t>
      </w:r>
    </w:p>
    <w:p>
      <w:r>
        <w:t xml:space="preserve">(2) Der Erwerber hat das Recht, die Jahressteuer zum jeweils nächsten Fälligkeitstermin mit ihrem Kapitalwert abzulösen. Für die Ermittlung des Kapitalwerts im Ablösungszeitpunkt sind die Vorschriften der §§ 13 und 14 des Bewertungsgesetzes anzuwenden. Der Antrag auf Ablösung der Jahressteuer ist spätestens bis zum Beginn des Monats zu stellen, der dem Monat vorausgeht, in dem die nächste Jahressteuer fällig wird.</w:t>
      </w:r>
    </w:p>
    <w:p>
      <w:r>
        <w:rPr>
          <w:color w:val="555555"/>
          <w:sz w:val="17"/>
        </w:rPr>
        <w:t xml:space="preserve">Zitiervorschlag: § 23 ErbStG 1974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https://recht.nulegal.eu/gesetze/ErbStG%201974/23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