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ErbStG 1974 — Steuersätze</w:t>
      </w:r>
    </w:p>
    <w:p>
      <w:r>
        <w:rPr>
          <w:color w:val="555555"/>
          <w:sz w:val="18"/>
        </w:rPr>
        <w:t xml:space="preserve">Erbschaftsteuer- und Schenkungsteuergesetz</w:t>
      </w:r>
    </w:p>
    <w:p>
      <w:r>
        <w:rPr>
          <w:color w:val="555555"/>
          <w:sz w:val="18"/>
        </w:rPr>
        <w:t xml:space="preserve">Stand: 10.06.2019 (konsolidierte Textfassung, kein amtliches Inkrafttretensdatum)</w:t>
      </w:r>
    </w:p>
    <w:p>
      <w:r>
        <w:t xml:space="preserve">(1) Die Erbschaftsteuer wird nach folgenden Prozentsätzen erhoben:</w:t>
      </w:r>
    </w:p>
    <w:p>
      <w:r>
        <w:rPr>
          <w:rFonts w:ascii="Courier New" w:hAnsi="Courier New"/>
          <w:sz w:val="17"/>
        </w:rPr>
        <w:t xml:space="preserve">Wert des steuerpflichtigenErwerbs (§ 10)bis einschließlich… Euro    Prozentsatz in der Steuerklasse</w:t>
      </w:r>
    </w:p>
    <w:p>
      <w:r>
        <w:rPr>
          <w:rFonts w:ascii="Courier New" w:hAnsi="Courier New"/>
          <w:sz w:val="17"/>
        </w:rPr>
        <w:t xml:space="preserve">I    II    III</w:t>
      </w:r>
    </w:p>
    <w:p>
      <w:r>
        <w:rPr>
          <w:rFonts w:ascii="Courier New" w:hAnsi="Courier New"/>
          <w:sz w:val="17"/>
        </w:rPr>
        <w:t xml:space="preserve">75 000    7    15    30</w:t>
      </w:r>
    </w:p>
    <w:p>
      <w:r>
        <w:rPr>
          <w:rFonts w:ascii="Courier New" w:hAnsi="Courier New"/>
          <w:sz w:val="17"/>
        </w:rPr>
        <w:t xml:space="preserve">300 000    11    20    30</w:t>
      </w:r>
    </w:p>
    <w:p>
      <w:r>
        <w:rPr>
          <w:rFonts w:ascii="Courier New" w:hAnsi="Courier New"/>
          <w:sz w:val="17"/>
        </w:rPr>
        <w:t xml:space="preserve">600 000    15    25    30</w:t>
      </w:r>
    </w:p>
    <w:p>
      <w:r>
        <w:rPr>
          <w:rFonts w:ascii="Courier New" w:hAnsi="Courier New"/>
          <w:sz w:val="17"/>
        </w:rPr>
        <w:t xml:space="preserve">6 000 000    19    30    30</w:t>
      </w:r>
    </w:p>
    <w:p>
      <w:r>
        <w:rPr>
          <w:rFonts w:ascii="Courier New" w:hAnsi="Courier New"/>
          <w:sz w:val="17"/>
        </w:rPr>
        <w:t xml:space="preserve">13 000 000    23    35    50</w:t>
      </w:r>
    </w:p>
    <w:p>
      <w:r>
        <w:rPr>
          <w:rFonts w:ascii="Courier New" w:hAnsi="Courier New"/>
          <w:sz w:val="17"/>
        </w:rPr>
        <w:t xml:space="preserve">26 000 000    27    40    50</w:t>
      </w:r>
    </w:p>
    <w:p>
      <w:r>
        <w:rPr>
          <w:rFonts w:ascii="Courier New" w:hAnsi="Courier New"/>
          <w:sz w:val="17"/>
        </w:rPr>
        <w:t xml:space="preserve">über 26 000 000    30    43    50</w:t>
      </w:r>
    </w:p>
    <w:p>
      <w:r>
        <w:t xml:space="preserve">.</w:t>
      </w:r>
    </w:p>
    <w:p>
      <w:r>
        <w:t xml:space="preserve">(2) Ist im Falle des § 2 Absatz 1 Nummer 1 ein Teil des Vermögens der inländischen Besteuerung auf Grund eines Abkommens zur Vermeidung der Doppelbesteuerung entzogen, ist die Steuer nach dem Steuersatz zu erheben, der für den ganzen Erwerb gelten würde.</w:t>
      </w:r>
    </w:p>
    <w:p>
      <w:r>
        <w:t xml:space="preserve">(3) Der Unterschied zwischen der Steuer, die sich bei Anwendung des Absatzes 1 ergibt, und der Steuer, die sich berechnen würde, wenn der Erwerb die letztvorhergehende Wertgrenze nicht überstiegen hätte, wird nur insoweit erhoben, als er</w:t>
      </w:r>
    </w:p>
    <w:p>
      <w:pPr>
        <w:ind w:left="420"/>
      </w:pPr>
      <w:r>
        <w:t xml:space="preserve">a) bei einem Steuersatz bis zu 30 Prozent aus der Hälfte,</w:t>
      </w:r>
    </w:p>
    <w:p>
      <w:pPr>
        <w:ind w:left="420"/>
      </w:pPr>
      <w:r>
        <w:t xml:space="preserve">b) bei einem Steuersatz über 30 Prozent aus drei Vierteln,</w:t>
      </w:r>
    </w:p>
    <w:p>
      <w:r>
        <w:t xml:space="preserve">des die Wertgrenze übersteigenden Betrags gedeckt werden kann.</w:t>
      </w:r>
    </w:p>
    <w:p>
      <w:r>
        <w:rPr>
          <w:color w:val="555555"/>
          <w:sz w:val="17"/>
        </w:rPr>
        <w:t xml:space="preserve">Zitiervorschlag: § 19 ErbStG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https://recht.nulegal.eu/gesetze/ErbStG%201974/19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