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13d ErbStG 1974 — Steuerbefreiung für zu Wohnzwecken vermietete Grundstücke</w:t>
      </w:r>
    </w:p>
    <w:p>
      <w:r>
        <w:rPr>
          <w:color w:val="555555"/>
          <w:sz w:val="18"/>
        </w:rPr>
        <w:t xml:space="preserve">Erbschaftsteuer- und Schenkungsteuergesetz</w:t>
      </w:r>
    </w:p>
    <w:p>
      <w:r>
        <w:rPr>
          <w:color w:val="555555"/>
          <w:sz w:val="18"/>
        </w:rPr>
        <w:t xml:space="preserve">Stand: 10.12.2024 (konsolidierte Textfassung, kein amtliches Inkrafttretensdatum)</w:t>
      </w:r>
    </w:p>
    <w:p>
      <w:r>
        <w:t xml:space="preserve">(1) Grundstücke im Sinne des Absatzes 3 sind mit 90 Prozent ihres Werts anzusetzen.</w:t>
      </w:r>
    </w:p>
    <w:p>
      <w:r>
        <w:t xml:space="preserve">(2) Ein Erwerber kann den verminderten Wertansatz nicht in Anspruch nehmen, soweit er erworbene Grundstücke auf Grund einer letztwilligen Verfügung des Erblassers oder einer rechtsgeschäftlichen Verfügung des Erblassers oder Schenkers auf einen Dritten übertragen muss. Gleiches gilt, wenn ein Erbe im Rahmen der Teilung des Nachlasses Vermögen im Sinne des Absatzes 3 auf einen Miterben überträgt. Überträgt ein Erbe erworbenes begünstigtes Vermögen im Rahmen der Teilung des Nachlasses auf einen Dritten und gibt der Dritte dabei diesem Erwerber nicht begünstigtes Vermögen hin, das er vom Erblasser erworben hat, erhöht sich insoweit der Wert des begünstigten Vermögens des Dritten um den Wert des hingegebenen Vermögens, höchstens jedoch um den Wert des übertragenen Vermögens.</w:t>
      </w:r>
    </w:p>
    <w:p>
      <w:r>
        <w:t xml:space="preserve">(3) Der verminderte Wertansatz gilt für bebaute Grundstücke oder Grundstücksteile,</w:t>
      </w:r>
    </w:p>
    <w:p>
      <w:pPr>
        <w:ind w:left="420"/>
      </w:pPr>
      <w:r>
        <w:t xml:space="preserve">1. die zu Wohnzwecken vermietet werden,</w:t>
      </w:r>
    </w:p>
    <w:p>
      <w:pPr>
        <w:ind w:left="420"/>
      </w:pPr>
      <w:r>
        <w:t xml:space="preserve">2. bei Belegenheit in einem Drittstaat nur, wenn dieser Drittstaat auf Grund völkervertraglicher Abkommen oder Übereinkommen verpflichtet ist, der Bundesrepublik Deutschland entsprechend dem OECD-Standard für Transparenz und effektiven Informationsaustausch auf Ersuchen im Sinne des § 4 Absatz 2 Nummer 2 in Verbindung mit Absatz 4 Satz 1 des Steueroasen-Abwehrgesetzes in Bezug auf die Erbschaftsteuer Amtshilfe zu leisten; das Bundesministerium der Finanzen veröffentlicht im Bundessteuerblatt Teil I eine Liste der Drittstaaten, die diese Voraussetzungen erfüllen,</w:t>
      </w:r>
    </w:p>
    <w:p>
      <w:pPr>
        <w:ind w:left="420"/>
      </w:pPr>
      <w:r>
        <w:t xml:space="preserve">3. die nicht zum begünstigten Betriebsvermögen oder begünstigten Vermögen eines Betriebs der Land- und Forstwirtschaft im Sinne des § 13a gehören.</w:t>
      </w:r>
    </w:p>
    <w:p>
      <w:r>
        <w:t xml:space="preserve">(4) Die Absätze 1 bis 3 gelten in den Fällen des § 1 Abs. 1 Nr. 4 entsprechend.</w:t>
      </w:r>
    </w:p>
    <w:p>
      <w:r>
        <w:rPr>
          <w:color w:val="555555"/>
          <w:sz w:val="17"/>
        </w:rPr>
        <w:t xml:space="preserve">Zitiervorschlag: § 13d ErbStG 1974</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https://recht.nulegal.eu/gesetze/ErbStG%201974/13d</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