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13c ErbStG 1974 — Verschonungsabschlag bei Großerwerben von begünstigtem Vermögen</w:t>
      </w:r>
    </w:p>
    <w:p>
      <w:r>
        <w:rPr>
          <w:color w:val="555555"/>
          <w:sz w:val="18"/>
        </w:rPr>
        <w:t xml:space="preserve">Erbschaftsteuer- und Schenkungsteuergesetz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Überschreitet der Erwerb von begünstigtem Vermögen im Sinne des § 13b Absatz 2 die Grenze des § 13a Absatz 1 Satz 1 von 26 Millionen Euro, verringert sich auf Antrag des Erwerbers der Verschonungsabschlag nach § 13a Absatz 1 oder Absatz 10 um jeweils einen Prozentpunkt für jede vollen 750 000 Euro, die der Wert des begünstigten Vermögens im Sinne des § 13b Absatz 2 den Betrag von 26 Millionen Euro übersteigt. Im Fall des § 13a Absatz 10 wird ab einem Erwerb von begünstigtem Vermögen im Sinne des § 13b Absatz 2 in Höhe von 90 Millionen Euro ein Verschonungsabschlag nicht mehr gewährt.</w:t>
      </w:r>
    </w:p>
    <w:p>
      <w:r>
        <w:t xml:space="preserve">(2) § 13a Absatz 3 bis 9 findet auf Absatz 1 entsprechende Anwendung. Bei mehreren Erwerben begünstigten Vermögens im Sinne des § 13b Absatz 2 von derselben Person innerhalb von zehn Jahren werden für die Bestimmung des Verschonungsabschlags für den letzten Erwerb nach Absatz 1 die früheren Erwerbe nach ihrem früheren Wert dem letzten Erwerb hinzugerechnet. Der nach Satz 2 ermittelte Verschonungsabschlag für den letzten Erwerb findet auf die früheren Erwerbe Anwendung, wenn die Steuerbefreiung für den früheren Erwerb nach § 13a Absatz 1 Satz 3 wegfällt oder dies bei dem jeweiligen Erwerb zu einem geringeren Verschonungsabschlag führt, es sei denn, für den früheren Erwerb wurde ein Antrag nach § 28a Absatz 1 gestellt. Die bis dahin für frühere Erwerbe gewährte Steuerbefreiung entfällt insoweit mit Wirkung für die Vergangenheit. § 13a Absatz 1 Satz 4 findet Anwendung. Der Antrag nach Absatz 1 ist unwiderruflich und schließt einen Antrag nach § 28a Absatz 1 für denselben Erwerb aus.</w:t>
      </w:r>
    </w:p>
    <w:p>
      <w:r>
        <w:t xml:space="preserve">(3) Die Absätze 1 und 2 gelten in den Fällen des § 1 Absatz 1 Nummer 4 entsprechend.</w:t>
      </w:r>
    </w:p>
    <w:p>
      <w:r>
        <w:rPr>
          <w:color w:val="555555"/>
          <w:sz w:val="17"/>
        </w:rPr>
        <w:t xml:space="preserve">Zitiervorschlag: § 13c ErbStG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https://recht.nulegal.eu/gesetze/ErbStG%201974/13c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