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13a ErbStG 1974 — Steuerbefreiung für Betriebsvermögen, Betriebe der Land- und Forstwirtschaft und Anteile an Kapitalgesellschaften</w:t>
      </w:r>
    </w:p>
    <w:p>
      <w:r>
        <w:rPr>
          <w:color w:val="555555"/>
          <w:sz w:val="18"/>
        </w:rPr>
        <w:t xml:space="preserve">Erbschaftsteuer- und Schenkungsteuergesetz</w:t>
      </w:r>
    </w:p>
    <w:p>
      <w:r>
        <w:rPr>
          <w:color w:val="555555"/>
          <w:sz w:val="18"/>
        </w:rPr>
        <w:t xml:space="preserve">Stand: 24.12.2024 (konsolidierte Textfassung, kein amtliches Inkrafttretensdatum)</w:t>
      </w:r>
    </w:p>
    <w:p>
      <w:r>
        <w:t xml:space="preserve">(1) Begünstigtes Vermögen im Sinne des § 13b Absatz 2 bleibt vorbehaltlich der folgenden Absätze zu 85 Prozent steuerfrei (Verschonungsabschlag), wenn der Erwerb begünstigten Vermögens im Sinne des § 13b Absatz 2 zuzüglich der Erwerbe im Sinne des Satzes 2 insgesamt 26 Millionen Euro nicht übersteigt. Bei mehreren Erwerben begünstigten Vermögens im Sinne des § 13b Absatz 2 von derselben Person innerhalb von zehn Jahren werden bei der Anwendung des Satzes 1 die früheren Erwerbe nach ihrem früheren Wert dem letzten Erwerb hinzugerechnet. Wird die Grenze von 26 Millionen Euro durch mehrere innerhalb von zehn Jahren von derselben Person anfallende Erwerbe überschritten, entfällt die Steuerbefreiung für die bis dahin nach Satz 1 oder Absatz 10 als steuerfrei behandelten früheren Erwerbe mit Wirkung für die Vergangenheit. Die Festsetzungsfrist für die Steuer der früheren Erwerbe endet nicht vor dem Ablauf des vierten Jahres, nachdem das für die Erbschaftsteuer zuständige Finanzamt von dem letzten Erwerb Kenntnis erlangt.</w:t>
      </w:r>
    </w:p>
    <w:p>
      <w:r>
        <w:t xml:space="preserve">(2) Der nach Anwendung des Absatzes 1 verbleibende Teil des begünstigten Vermögens bleibt außer Ansatz, soweit der Wert dieses Vermögens insgesamt 150 000 Euro nicht übersteigt (Abzugsbetrag). Der Abzugsbetrag von 150 000 Euro verringert sich, soweit der Wert dieses Vermögens insgesamt die Wertgrenze von 150 000 Euro übersteigt, um 50 Prozent des diese Wertgrenze übersteigenden Betrags. Der Abzugsbetrag kann innerhalb von zehn Jahren für von derselben Person anfallende Erwerbe begünstigten Vermögens nur einmal berücksichtigt werden.</w:t>
      </w:r>
    </w:p>
    <w:p>
      <w:r>
        <w:t xml:space="preserve">(3) Voraussetzung für die Gewährung des Verschonungsabschlags nach Absatz 1 ist, dass die Summe der maßgebenden jährlichen Lohnsummen (Sätze 6 bis 13) des Betriebs, bei Beteiligungen an einer Personengesellschaft oder Anteilen an einer Kapitalgesellschaft des Betriebs der jeweiligen Gesellschaft innerhalb von fünf Jahren nach dem Erwerb (Lohnsummenfrist) insgesamt 400 Prozent der Ausgangslohnsumme nicht unterschreitet (Mindestlohnsumme). Ausgangslohnsumme ist die durchschnittliche Lohnsumme der letzten fünf vor dem Zeitpunkt der Entstehung der Steuer (§ 9) endenden Wirtschaftsjahre. Satz 1 ist nicht anzuwenden, wenn</w:t>
      </w:r>
    </w:p>
    <w:p>
      <w:pPr>
        <w:ind w:left="420"/>
      </w:pPr>
      <w:r>
        <w:t xml:space="preserve">1. die Ausgangslohnsumme 0 Euro beträgt oder</w:t>
      </w:r>
    </w:p>
    <w:p>
      <w:pPr>
        <w:ind w:left="420"/>
      </w:pPr>
      <w:r>
        <w:t xml:space="preserve">2. der Betrieb unter Einbeziehung der in den Sätzen 11 bis 13 genannten Beteiligungen und Gesellschaften sowie der nach Maßgabe dieser Bestimmung anteilig einzubeziehenden Beschäftigten nicht mehr als fünf Beschäftigte hat.</w:t>
      </w:r>
    </w:p>
    <w:p>
      <w:r>
        <w:t xml:space="preserve">An die Stelle der Mindestlohnsumme von 400 Prozent tritt bei</w:t>
      </w:r>
    </w:p>
    <w:p>
      <w:pPr>
        <w:ind w:left="420"/>
      </w:pPr>
      <w:r>
        <w:t xml:space="preserve">1. mehr als fünf, aber nicht mehr als zehn Beschäftigten eine Mindestlohnsumme von 250 Prozent,</w:t>
      </w:r>
    </w:p>
    <w:p>
      <w:pPr>
        <w:ind w:left="420"/>
      </w:pPr>
      <w:r>
        <w:t xml:space="preserve">2. mehr als zehn, aber nicht mehr als 15 Beschäftigten eine Mindestlohnsumme von 300 Prozent.</w:t>
      </w:r>
    </w:p>
    <w:p>
      <w:r>
        <w:t xml:space="preserve">Unterschreitet die Summe der maßgebenden jährlichen Lohnsummen die Mindestlohnsumme, vermindert sich der nach Absatz 1 zu gewährende Verschonungsabschlag mit Wirkung für die Vergangenheit in demselben prozentualen Umfang, wie die Mindestlohnsumme unterschritten wird. Die Lohnsumme umfasst alle Vergütungen (Löhne und Gehälter und andere Bezüge und Vorteile), die im maßgebenden Wirtschaftsjahr an die auf den Lohn- und Gehaltslisten erfassten Beschäftigten gezahlt werden. Außer Ansatz bleiben Vergütungen an solche Beschäftigte,</w:t>
      </w:r>
    </w:p>
    <w:p>
      <w:pPr>
        <w:ind w:left="420"/>
      </w:pPr>
      <w:r>
        <w:t xml:space="preserve">1. die sich im Mutterschutz im Sinne des Mutterschutzgesetzes in der Fassung der Bekanntmachung vom 20. Juni 2002 (BGBl. I S. 2318), das zuletzt durch Artikel 6 des Gesetzes vom 23. Oktober 2012 (BGBl. I S. 2246) geändert worden ist, befinden oder</w:t>
      </w:r>
    </w:p>
    <w:p>
      <w:pPr>
        <w:ind w:left="420"/>
      </w:pPr>
      <w:r>
        <w:t xml:space="preserve">2. die sich in einem Ausbildungsverhältnis befinden oder</w:t>
      </w:r>
    </w:p>
    <w:p>
      <w:pPr>
        <w:ind w:left="420"/>
      </w:pPr>
      <w:r>
        <w:t xml:space="preserve">3. die Krankengeld im Sinne des § 44 des Fünften Buches Sozialgesetzbuch – Gesetzliche Krankenversicherung – (Artikel 1 des Gesetzes vom 20. Dezember 1988, BGBl. I S. 2477, 2482), das zuletzt durch Artikel 3 des Gesetzes vom 30. Mai 2016 (BGBl. I S. 1254) geändert worden ist, beziehen oder</w:t>
      </w:r>
    </w:p>
    <w:p>
      <w:pPr>
        <w:ind w:left="420"/>
      </w:pPr>
      <w:r>
        <w:t xml:space="preserve">4. die Elterngeld im Sinne des Bundeselterngeld- und Elternzeitgesetzes in der Fassung der Bekanntmachung vom 27. Januar 2015 (BGBl. I S. 33) beziehen oder</w:t>
      </w:r>
    </w:p>
    <w:p>
      <w:pPr>
        <w:ind w:left="420"/>
      </w:pPr>
      <w:r>
        <w:t xml:space="preserve">5. die nicht ausschließlich oder überwiegend in dem Betrieb tätig sind (Saisonarbeiter);</w:t>
      </w:r>
    </w:p>
    <w:p>
      <w:r>
        <w:t xml:space="preserve">diese im Zeitpunkt der Entstehung der Steuer (§ 9) einem Betrieb zuzurechnenden Beschäftigten bleiben bei der Anzahl der Beschäftigten des Betriebs im Sinne der Sätze 3 und 4 unberücksichtigt. Zu den Vergütungen zählen alle Geld- oder Sachleistungen für die von den Beschäftigten erbrachte Arbeit, unabhängig davon, wie diese Leistungen bezeichnet werden und ob es sich um regelmäßige oder unregelmäßige Zahlungen handelt. Zu den Löhnen und Gehältern gehören alle von den Beschäftigten zu entrichtenden Sozialbeiträge, Einkommensteuern und Zuschlagsteuern auch dann, wenn sie vom Arbeitgeber einbehalten und von ihm im Namen des Beschäftigten direkt an den Sozialversicherungsträger und die Steuerbehörde abgeführt werden. Zu den Löhnen und Gehältern zählen alle von den Beschäftigten empfangenen Sondervergütungen, Prämien, Gratifikationen, Abfindungen, Zuschüsse zu Lebenshaltungskosten, Familienzulagen, Provisionen, Teilnehmergebühren und vergleichbare Vergütungen. Gehören zum Betriebsvermögen des Betriebs, bei Beteiligungen an einer Personengesellschaft und Anteilen an einer Kapitalgesellschaft des Betriebs der jeweiligen Gesellschaft, unmittelbar oder mittelbar Beteiligungen an Personengesellschaften, die ihren Sitz oder ihre Geschäftsleitung im Inland, in einem Mitgliedstaat der Europäischen Union oder in einem Staat des Europäischen Wirtschaftsraums haben, sind die Lohnsummen und die Anzahl der Beschäftigten dieser Gesellschaften einzubeziehen zu dem Anteil, zu dem die unmittelbare oder mittelbare Beteiligung besteht. Satz 11 gilt für Anteile an Kapitalgesellschaften entsprechend, wenn die unmittelbare oder mittelbare Beteiligung mehr als 25 Prozent beträgt. Im Fall einer Betriebsaufspaltung sind die Lohnsummen und die Anzahl der Beschäftigten der Besitzgesellschaft und der Betriebsgesellschaft zusammenzuzählen.</w:t>
      </w:r>
    </w:p>
    <w:p>
      <w:r>
        <w:t xml:space="preserve">(4) Das für die Bewertung der wirtschaftlichen Einheit örtlich zuständige Finanzamt im Sinne des § 152 Nummer 1 bis 3 des Bewertungsgesetzes stellt die Ausgangslohnsumme, die Anzahl der Beschäftigten und die Summe der maßgebenden jährlichen Lohnsummen gesondert fest, wenn diese Angaben für die Erbschaftsteuer oder eine andere Feststellung im Sinne dieser Vorschrift von Bedeutung sind. Bei Anteilen an Kapitalgesellschaften, die nach § 11 Absatz 1 des Bewertungsgesetzes zu bewerten sind, trifft die Feststellungen des Satzes 1 das örtlich zuständige Finanzamt entsprechend § 152 Nummer 3 des Bewertungsgesetzes. Die Entscheidung über die Bedeutung trifft das Finanzamt, das für die Festsetzung der Erbschaftsteuer oder die Feststellung nach § 151 Absatz 1 Satz 1 Nummer 1 bis 3 des Bewertungsgesetzes zuständig ist. § 151 Absatz 3 und die §§ 152 bis 156 des Bewertungsgesetzes sind auf die Sätze 1 bis 3 entsprechend anzuwenden.</w:t>
      </w:r>
    </w:p>
    <w:p>
      <w:r>
        <w:t xml:space="preserve">(5) Ein Erwerber kann den Verschonungsabschlag (Absatz 1) und den Abzugsbetrag (Absatz 2) nicht in Anspruch nehmen, soweit er begünstigtes Vermögen im Sinne des § 13b Absatz 2 auf Grund einer letztwilligen Verfügung des Erblassers oder einer rechtsgeschäftlichen Verfügung des Erblassers oder Schenkers auf einen Dritten übertragen muss. Gleiches gilt, wenn ein Erbe im Rahmen der Teilung des Nachlasses begünstigtes Vermögen im Sinne des § 13b Absatz 2 auf einen Miterben überträgt. Überträgt ein Erbe erworbenes begünstigtes Vermögen im Sinne des § 13b Absatz 2 im Rahmen der Teilung des Nachlasses auf einen Dritten und gibt der Dritte dabei diesem Erwerber nicht begünstigtes Vermögen hin, das er vom Erblasser erworben hat, erhöht sich insoweit der Wert des begünstigten Vermögens des Dritten um den Wert des hingegebenen Vermögens, höchstens jedoch um den Wert des übertragenen Vermögens.</w:t>
      </w:r>
    </w:p>
    <w:p>
      <w:r>
        <w:t xml:space="preserve">(6) Der Verschonungsabschlag (Absatz 1) und der Abzugsbetrag (Absatz 2) fallen nach Maßgabe des Satzes 2 mit Wirkung für die Vergangenheit weg, soweit der Erwerber innerhalb von fünf Jahren (Behaltensfrist)</w:t>
      </w:r>
    </w:p>
    <w:p>
      <w:pPr>
        <w:ind w:left="420"/>
      </w:pPr>
      <w:r>
        <w:t xml:space="preserve">1. einen Gewerbebetrieb oder einen Teilbetrieb, eine Beteiligung an einer Gesellschaft im Sinne des § 97 Absatz 1 Satz 1 Nummer 5 Satz 1 des Bewertungsgesetzes, einen Anteil eines persönlich haftenden Gesellschafters einer Kommanditgesellschaft auf Aktien oder einen Anteil daran veräußert; als Veräußerung gilt auch die Aufgabe des Gewerbebetriebs. Gleiches gilt, wenn wesentliche Betriebsgrundlagen eines Gewerbebetriebs veräußert oder in das Privatvermögen überführt oder anderen betriebsfremden Zwecken zugeführt werden oder wenn Anteile an einer Kapitalgesellschaft veräußert werden, die der Veräußerer durch eine Sacheinlage (§ 20 Absatz 1 des Umwandlungssteuergesetzes vom 7. Dezember 2006 (BGBl. I S. 2782, 2791), zuletzt geändert durch Artikel 6 des Gesetzes vom 2. November 2015 (BGBl. I S. 1834), in der jeweils geltenden Fassung) aus dem Betriebsvermögen im Sinne des § 13b erworben hat oder wenn eine Beteiligung an einer Gesellschaft im Sinne des § 97 Absatz 1 Satz 1 Nummer 5 Satz 1 des Bewertungsgesetzes oder ein Anteil daran veräußert wird, den der Veräußerer durch eine Einbringung des Betriebsvermögens im Sinne des § 13b in eine Personengesellschaft (§ 24 Absatz 1 des Umwandlungssteuergesetzes) erworben hat;</w:t>
      </w:r>
    </w:p>
    <w:p>
      <w:pPr>
        <w:ind w:left="420"/>
      </w:pPr>
      <w:r>
        <w:t xml:space="preserve">2. das land- und forstwirtschaftliche Vermögen im Sinne des § 168 Absatz 1 Nummer 1 des Bewertungsgesetzes und selbst bewirtschaftete Grundstücke im Sinne des § 159 des Bewertungsgesetzes veräußert. Gleiches gilt, wenn das land- und forstwirtschaftliche Vermögen einem Betrieb der Land- und Forstwirtschaft nicht mehr dauernd zu dienen bestimmt ist oder wenn der bisherige Betrieb innerhalb der Behaltensfrist als Stückländerei zu qualifizieren wäre oder Grundstücke im Sinne des § 159 des Bewertungsgesetzes nicht mehr selbst bewirtschaftet werden;</w:t>
      </w:r>
    </w:p>
    <w:p>
      <w:pPr>
        <w:ind w:left="420"/>
      </w:pPr>
      <w:r>
        <w:t xml:space="preserve">3. als Inhaber eines Gewerbebetriebs, als Gesellschafter einer Gesellschaft im Sinne des § 97 Absatz 1 Satz 1 Nummer 5 Satz 1 des Bewertungsgesetzes oder als persönlich haftender Gesellschafter einer Kommanditgesellschaft auf Aktien bis zum Ende des letzten in die Fünfjahresfrist fallenden Wirtschaftsjahres Entnahmen tätigt, die die Summe seiner Einlagen und der ihm zuzurechnenden Gewinne oder Gewinnanteile seit dem Erwerb um mehr als 150 000 Euro übersteigen; Verluste bleiben unberücksichtigt. Gleiches gilt für Inhaber eines begünstigten Betriebs der Land- und Forstwirtschaft oder eines Teilbetriebs oder eines Anteils an einem Betrieb der Land- und Forstwirtschaft. Bei Ausschüttungen an Gesellschafter einer Kapitalgesellschaft ist sinngemäß zu verfahren;</w:t>
      </w:r>
    </w:p>
    <w:p>
      <w:pPr>
        <w:ind w:left="420"/>
      </w:pPr>
      <w:r>
        <w:t xml:space="preserve">4. Anteile an Kapitalgesellschaften im Sinne des § 13b Absatz 1 Nummer 3 ganz oder teilweise veräußert; eine verdeckte Einlage der Anteile in eine Kapitalgesellschaft steht der Veräußerung der Anteile gleich. Gleiches gilt, wenn die Kapitalgesellschaft innerhalb der Frist aufgelöst oder ihr Nennkapital herabgesetzt wird, wenn diese wesentliche Betriebsgrundlagen veräußert und das Vermögen an die Gesellschafter verteilt wird; Satz 1 Nummer 1 Satz 2 gilt entsprechend. In den Fällen einer insolvenzbedingten Auflösung gilt Satz 2 erste Alternative erst mit der Aufgabe des Betriebs oder soweit wesentliche Betriebsgrundlagen veräußert werden;</w:t>
      </w:r>
    </w:p>
    <w:p>
      <w:pPr>
        <w:ind w:left="420"/>
      </w:pPr>
      <w:r>
        <w:t xml:space="preserve">5. im Fall des § 13b Absatz 1 Nummer 3 Satz 2 die Verfügungsbeschränkung oder die Stimmrechtsbündelung aufgehoben wird.</w:t>
      </w:r>
    </w:p>
    <w:p>
      <w:r>
        <w:t xml:space="preserve">Der rückwirkende Wegfall des Verschonungsabschlags beschränkt sich in den Fällen des Satzes 1 Nummer 1, 2, 4 und 5 auf den Teil, der dem Verhältnis der im Zeitpunkt der schädlichen Verfügung verbleibenden Behaltensfrist einschließlich des Jahres, in dem die Verfügung erfolgt, zur gesamten Behaltensfrist entspricht. In den Fällen des Satzes 1 Nummer 1, 2 und 4 ist von einer rückwirkenden Besteuerung abzusehen, wenn der Veräußerungserlös innerhalb der jeweils nach § 13b Absatz 1 begünstigungsfähigen Vermögensart verbleibt. Hiervon ist auszugehen, wenn der Veräußerungserlös innerhalb von sechs Monaten in entsprechendes Vermögen investiert wird, das zum begünstigten Vermögen im Sinne des § 13b Absatz 2 gehört.</w:t>
      </w:r>
    </w:p>
    <w:p>
      <w:r>
        <w:t xml:space="preserve">(7) Der Erwerber ist verpflichtet, dem für die Erbschaftsteuer zuständigen Finanzamt innerhalb einer Frist von sechs Monaten nach Ablauf der Lohnsummenfrist das Unterschreiten der Mindestlohnsumme (Absatz 3 Satz 1) anzuzeigen. In den Fällen des Absatzes 6 ist der Erwerber verpflichtet, dem für die Erbschaftsteuer zuständigen Finanzamt den entsprechenden Sachverhalt innerhalb einer Frist von einem Monat, nachdem der jeweilige Tatbestand verwirklicht wurde, anzuzeigen. Die Festsetzungsfrist für die Steuer endet nicht vor dem Ablauf des vierten Jahres, nachdem das für die Erbschaftsteuer zuständige Finanzamt von dem Unterschreiten der Mindestlohnsumme (Absatz 3 Satz 1) oder dem Verstoß gegen die Behaltensregelungen (Absatz 6) Kenntnis erlangt. Die Anzeige ist eine Steuererklärung im Sinne der Abgabenordnung. Sie ist schriftlich abzugeben. Die Anzeige hat auch dann zu erfolgen, wenn der Vorgang zu keiner Besteuerung führt.</w:t>
      </w:r>
    </w:p>
    <w:p>
      <w:r>
        <w:t xml:space="preserve">(8) Soweit nicht inländisches Vermögen zum begünstigten Vermögen im Sinne des § 13b Absatz 2 gehört, hat der Steuerpflichtige nachzuweisen, dass die Voraussetzungen für eine Steuerbefreiung im Zeitpunkt der Entstehung der Steuer (§ 9) und während der gesamten in den Absätzen 3 und 6 genannten Zeiträume bestehen.</w:t>
      </w:r>
    </w:p>
    <w:p>
      <w:r>
        <w:t xml:space="preserve">(9) Für begünstigtes Vermögen im Sinne des § 13b Absatz 2 wird vor Anwendung des Absatzes 1 ein Abschlag gewährt, wenn der Gesellschaftsvertrag oder die Satzung Bestimmungen enthält, die</w:t>
      </w:r>
    </w:p>
    <w:p>
      <w:pPr>
        <w:ind w:left="420"/>
      </w:pPr>
      <w:r>
        <w:t xml:space="preserve">1. die Entnahme oder Ausschüttung auf höchstens 37,5 Prozent des um die auf den Gewinnanteil oder die Ausschüttungen aus der Gesellschaft entfallenden Steuern vom Einkommen gekürzten Betrages des steuerrechtlichen Gewinns beschränken; Entnahmen zur Begleichung der auf den Gewinnanteil oder die Ausschüttungen aus der Gesellschaft entfallenden Steuern vom Einkommen bleiben von der Beschränkung der Entnahme oder Ausschüttung unberücksichtigt und</w:t>
      </w:r>
    </w:p>
    <w:p>
      <w:pPr>
        <w:ind w:left="420"/>
      </w:pPr>
      <w:r>
        <w:t xml:space="preserve">2. die Verfügung über die Beteiligung an der Personengesellschaft oder den Anteil an der Kapitalgesellschaft auf Mitgesellschafter, auf Angehörige im Sinne des § 15 der Abgabenordnung oder auf eine Familienstiftung (§ 1 Absatz 1 Nummer 4) beschränken und</w:t>
      </w:r>
    </w:p>
    <w:p>
      <w:pPr>
        <w:ind w:left="420"/>
      </w:pPr>
      <w:r>
        <w:t xml:space="preserve">3. für den Fall des Ausscheidens aus der Gesellschaft eine Abfindung vorsehen, die unter dem gemeinen Wert der Beteiligung an der Personengesellschaft oder des Anteils an der Kapitalgesellschaft liegt,</w:t>
      </w:r>
    </w:p>
    <w:p>
      <w:r>
        <w:t xml:space="preserve">und die Bestimmungen den tatsächlichen Verhältnissen entsprechen. Gelten die in Satz 1 genannten Bestimmungen nur für einen Teil des begünstigten Vermögens im Sinne des § 13b Absatz 2, ist der Abschlag nur für diesen Teil des begünstigten Vermögens zu gewähren. Die Höhe des Abschlags entspricht der im Gesellschaftsvertrag oder in der Satzung vorgesehenen prozentualen Minderung der Abfindung gegenüber dem gemeinen Wert (Satz 1 Nummer 3) und darf 30 Prozent nicht übersteigen. Die Voraussetzungen des Satzes 1 müssen zwei Jahre vor dem Zeitpunkt der Entstehung der Steuer (§ 9) vorliegen. Die Steuerbefreiung entfällt mit Wirkung für die Vergangenheit, wenn die Voraussetzungen des Satzes 1 nicht über einen Zeitraum von 20 Jahren nach dem Zeitpunkt der Entstehung der Steuer (§ 9) eingehalten werden; die §§ 13c und 28a bleiben unberührt. In den Fällen des Satzes 1</w:t>
      </w:r>
    </w:p>
    <w:p>
      <w:pPr>
        <w:ind w:left="420"/>
      </w:pPr>
      <w:r>
        <w:t xml:space="preserve">1. ist der Erwerber verpflichtet, dem für die Erbschaftsteuer zuständigen Finanzamt die Änderungen der genannten Bestimmungen oder der tatsächlichen Verhältnisse innerhalb einer Frist von einem Monat anzuzeigen,</w:t>
      </w:r>
    </w:p>
    <w:p>
      <w:pPr>
        <w:ind w:left="420"/>
      </w:pPr>
      <w:r>
        <w:t xml:space="preserve">2. endet die Festsetzungsfrist für die Steuer nicht vor dem Ablauf des vierten Jahres, nachdem das für die Erbschaftsteuer zuständige Finanzamt von der Änderung einer der in Satz 1 genannten Bestimmungen oder der tatsächlichen Verhältnisse Kenntnis erlangt.</w:t>
      </w:r>
    </w:p>
    <w:p>
      <w:r>
        <w:t xml:space="preserve">(9a) Das für die Bewertung der wirtschaftlichen Einheit örtlich zuständige Finanzamt im Sinne des § 152 Nummer 2 und 3 des Bewertungsgesetzes stellt das Vorliegen der Voraussetzungen für den Abschlag nach Absatz 9 und dessen Höhe auf den Zeitpunkt der Entstehung der Steuer (§ 9) gesondert fest, wenn diese Angaben für die Erbschaftsteuer von Bedeutung sind. Die Entscheidung über die Bedeutung trifft das Finanzamt, das für die Festsetzung der Erbschaftsteuer zuständig ist. § 151 Absatz 3 und die §§ 152 bis 156 des Bewertungsgesetzes sind auf die Sätze 1 und 2 entsprechend anzuwenden.</w:t>
      </w:r>
    </w:p>
    <w:p>
      <w:r>
        <w:t xml:space="preserve">(10) Der Erwerber kann unwiderruflich erklären, dass die Steuerbefreiung nach den Absätzen 1 bis 9 in Verbindung mit § 13b nach folgender Maßgabe gewährt wird:</w:t>
      </w:r>
    </w:p>
    <w:p>
      <w:pPr>
        <w:ind w:left="420"/>
      </w:pPr>
      <w:r>
        <w:t xml:space="preserve">1. In Absatz 1 Satz 1 tritt an die Stelle des Verschonungsabschlags von 85 Prozent ein Verschonungsabschlag von 100 Prozent;</w:t>
      </w:r>
    </w:p>
    <w:p>
      <w:pPr>
        <w:ind w:left="420"/>
      </w:pPr>
      <w:r>
        <w:t xml:space="preserve">2. in Absatz 3 Satz 1 tritt an die Stelle der Lohnsummenfrist von fünf Jahren eine Lohnsummenfrist von sieben Jahren;</w:t>
      </w:r>
    </w:p>
    <w:p>
      <w:pPr>
        <w:ind w:left="420"/>
      </w:pPr>
      <w:r>
        <w:t xml:space="preserve">3. in Absatz 3 Satz 1 und 4 tritt an die Stelle der Mindestlohnsumme von 400 Prozent eine Mindestlohnsumme von 700 Prozent;</w:t>
      </w:r>
    </w:p>
    <w:p>
      <w:pPr>
        <w:ind w:left="420"/>
      </w:pPr>
      <w:r>
        <w:t xml:space="preserve">4. in Absatz 3 Satz 4 Nummer 1 tritt an die Stelle der Mindestlohnsumme von 250 Prozent eine Mindestlohnsumme von 500 Prozent;</w:t>
      </w:r>
    </w:p>
    <w:p>
      <w:pPr>
        <w:ind w:left="420"/>
      </w:pPr>
      <w:r>
        <w:t xml:space="preserve">5. in Absatz 3 Satz 4 Nummer 2 tritt an die Stelle der Mindestlohnsumme von 300 Prozent eine Mindestlohnsumme von 565 Prozent;</w:t>
      </w:r>
    </w:p>
    <w:p>
      <w:pPr>
        <w:ind w:left="420"/>
      </w:pPr>
      <w:r>
        <w:t xml:space="preserve">6. in Absatz 6 tritt an die Stelle der Behaltensfrist von fünf Jahren eine Behaltensfrist von sieben Jahren.</w:t>
      </w:r>
    </w:p>
    <w:p>
      <w:r>
        <w:t xml:space="preserve">Voraussetzung für die Gewährung der Steuerbefreiung nach Satz 1 ist, dass das begünstigungsfähige Vermögen nach § 13b Absatz 1 nicht zu mehr als 20 Prozent aus Verwaltungsvermögen nach § 13b Absatz 3 und 4 besteht. Der Anteil des Verwaltungsvermögens am gemeinen Wert des Betriebs bestimmt sich nach dem Verhältnis der Summe der gemeinen Werte der Einzelwirtschaftsgüter des Verwaltungsvermögens nach § 13b Absatz 3 und 4 zum gemeinen Wert des Betriebs.</w:t>
      </w:r>
    </w:p>
    <w:p>
      <w:r>
        <w:t xml:space="preserve">(11) Die Absätze 1 bis 10 gelten in den Fällen des § 1 Absatz 1 Nummer 4 entsprechend.</w:t>
      </w:r>
    </w:p>
    <w:p>
      <w:r>
        <w:rPr>
          <w:color w:val="555555"/>
          <w:sz w:val="17"/>
        </w:rPr>
        <w:t xml:space="preserve">Zitiervorschlag: § 13a ErbStG 1974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https://recht.nulegal.eu/gesetze/ErbStG%201974/13a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