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ErbStG 1974 — Bewertung</w:t>
      </w:r>
    </w:p>
    <w:p>
      <w:r>
        <w:rPr>
          <w:color w:val="555555"/>
          <w:sz w:val="18"/>
        </w:rPr>
        <w:t xml:space="preserve">Erbschaftsteuer- und Schenkungsteuergesetz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Die Bewertung richtet sich, soweit nicht in den Absätzen 2 bis 7 etwas anderes bestimmt ist, nach den Vorschriften des Ersten Teils des Bewertungsgesetzes (Allgemeine Bewertungsvorschriften) in der Fassung der Bekanntmachung vom 1. Februar 1991 (BGBl. I S. 230), zuletzt geändert durch Artikel 2 des Gesetzes vom 24. Dezember 2008 (BGBl. I S. 3018), in der jeweils geltenden Fassung.</w:t>
      </w:r>
    </w:p>
    <w:p>
      <w:r>
        <w:t xml:space="preserve">(2) Anteile an Kapitalgesellschaften, für die ein Wert nach § 151 Abs. 1 Satz 1 Nr. 3 des Bewertungsgesetzes festzustellen ist, sind mit dem auf den Bewertungsstichtag (§ 11) festgestellten Wert anzusetzen.</w:t>
      </w:r>
    </w:p>
    <w:p>
      <w:r>
        <w:t xml:space="preserve">(3) Grundbesitz (§ 157 Absatz 1 Satz 1 des Bewertungsgesetzes) ist mit dem nach § 151 Abs. 1 Satz 1 Nr. 1 des Bewertungsgesetzes auf den Bewertungsstichtag (§ 11) festgestellten Wert anzusetzen.</w:t>
      </w:r>
    </w:p>
    <w:p>
      <w:r>
        <w:t xml:space="preserve">(4) Bodenschätze, die nicht zum Betriebsvermögen gehören, werden angesetzt, wenn für sie Absetzungen für Substanzverringerung bei der Einkunftsermittlung vorzunehmen sind; sie werden mit ihren ertragsteuerlichen Werten angesetzt.</w:t>
      </w:r>
    </w:p>
    <w:p>
      <w:r>
        <w:t xml:space="preserve">(5) Inländisches Betriebsvermögen, für das ein Wert nach § 151 Abs. 1 Satz 1 Nr. 2 des Bewertungsgesetzes festzustellen ist, ist mit dem auf den Bewertungsstichtag (§ 11) festgestellten Wert anzusetzen.</w:t>
      </w:r>
    </w:p>
    <w:p>
      <w:r>
        <w:t xml:space="preserve">(6) Gehört zum Erwerb ein Anteil an Wirtschaftsgütern und Schulden, für die ein Wert nach § 151 Abs. 1 Satz 1 Nr. 4 des Bewertungsgesetzes festzustellen ist, ist der darauf entfallende Teilbetrag des auf den Bewertungsstichtag (§ 11) festgestellten Werts anzusetzen.</w:t>
      </w:r>
    </w:p>
    <w:p>
      <w:r>
        <w:t xml:space="preserve">(7) Ausländischer Grundbesitz und ausländisches Betriebsvermögen werden nach § 31 des Bewertungsgesetzes bewertet.</w:t>
      </w:r>
    </w:p>
    <w:p>
      <w:r>
        <w:rPr>
          <w:color w:val="555555"/>
          <w:sz w:val="17"/>
        </w:rPr>
        <w:t xml:space="preserve">Zitiervorschlag: § 12 ErbStG 1974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https://recht.nulegal.eu/gesetze/ErbStG%201974/12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