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ErbStDV 1998</w:t>
      </w:r>
    </w:p>
    <w:p>
      <w:r>
        <w:rPr>
          <w:color w:val="555555"/>
          <w:sz w:val="18"/>
        </w:rPr>
        <w:t xml:space="preserve">Erbschaftsteuer-Durchführungsverordnung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 Abs. 1 Nr. 1 Buchstabe e des Erbschaftsteuer- und Schenkungsteuergesetzes in der Fassung der Bekanntmachung vom 27. Februar 1997 (BGBl. I S. 378) verordnet die Bundesregierung:</w:t>
      </w:r>
    </w:p>
    <w:p>
      <w:r>
        <w:rPr>
          <w:color w:val="555555"/>
          <w:sz w:val="17"/>
        </w:rPr>
        <w:t xml:space="preserve">Zitiervorschlag: Eingangsformel ErbStDV 1998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https://recht.nulegal.eu/gesetze/ErbStDV%201998/eingangsformel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