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ErbStDV 1998 — Anzeigepflicht der Gerichte, Notare und sonstigen Urkundspersonen bei Schenkungen und Zweckzuwendungen unter Lebenden</w:t>
      </w:r>
    </w:p>
    <w:p>
      <w:r>
        <w:rPr>
          <w:color w:val="555555"/>
          <w:sz w:val="18"/>
        </w:rPr>
        <w:t xml:space="preserve">Erbschaftsteuer-Durchführungsverordnung</w:t>
      </w:r>
    </w:p>
    <w:p>
      <w:r>
        <w:rPr>
          <w:color w:val="555555"/>
          <w:sz w:val="18"/>
        </w:rPr>
        <w:t xml:space="preserve">Stand: 23.12.2022 (konsolidierte Textfassung, kein amtliches Inkrafttretensdatum)</w:t>
      </w:r>
    </w:p>
    <w:p>
      <w:r>
        <w:t xml:space="preserve">(1) Die Gerichte haben dem für die Verwaltung der Erbschaftsteuer zuständigen Finanzamt (§ 35 des Gesetzes) eine beglaubigte Abschrift der Urkunde über eine Schenkung (§ 7 des Gesetzes) oder eine Zweckzuwendung unter Lebenden (§ 8 des Gesetzes) unter Angabe des der Kostenberechnung zugrunde gelegten Werts mit einem Vordruck nach Muster 6 zu übersenden. Eine elektronische Übermittlung der Anzeige ist ausgeschlossen. Enthält die Urkunde keine Angaben darüber, sind die Beteiligten über</w:t>
      </w:r>
    </w:p>
    <w:p>
      <w:pPr>
        <w:ind w:left="420"/>
      </w:pPr>
      <w:r>
        <w:t xml:space="preserve">1. das persönliche Verhältnis (Verwandtschaftsverhältnis, Ehegatte oder Lebenspartner) des Erwerbers zum Schenker und</w:t>
      </w:r>
    </w:p>
    <w:p>
      <w:pPr>
        <w:ind w:left="420"/>
      </w:pPr>
      <w:r>
        <w:t xml:space="preserve">2. den Wert der Zuwendung</w:t>
      </w:r>
    </w:p>
    <w:p>
      <w:r>
        <w:t xml:space="preserve">zu befragen und die Angaben in der Anzeige mitzuteilen. Die Anzeige hat unverzüglich nach der Beurkundung zu erfolgen. Auf der Urschrift der Urkunde ist zu vermerken, wann und an welches Finanzamt die Abschrift übersandt worden ist. Die Gerichte haben bei der Beurkundung von Schenkungen und Zweckzuwendungen unter Lebenden die Beteiligten auf die mögliche Steuerpflicht hinzuweisen.</w:t>
      </w:r>
    </w:p>
    <w:p>
      <w:r>
        <w:t xml:space="preserve">(2) Die Verpflichtungen nach Absatz 1 erstrecken sich auch auf Urkunden über Rechtsgeschäfte, die zum Teil oder der Form nach entgeltlich sind, bei denen aber Anhaltspunkte dafür vorliegen, daß eine Schenkung oder Zweckzuwendung unter Lebenden vorliegt.</w:t>
      </w:r>
    </w:p>
    <w:p>
      <w:r>
        <w:t xml:space="preserve">(3) Die Übersendung einer beglaubigten Abschrift von Schenkungs- und Übergabeverträgen und die Mitteilung der in Absatz 1 vorgesehenen Angaben darf unterbleiben, wenn Gegenstand der Schenkung nur Hausrat (einschließlich Wäsche und Kleidungsstücke) im Wert von höchstens 12 000 Euro und anderes Vermögen im reinen Wert von höchstens 20 000 Euro ist.</w:t>
      </w:r>
    </w:p>
    <w:p>
      <w:r>
        <w:t xml:space="preserve">(4) Die vorstehenden Vorschriften gelten entsprechend für Notare und sonstige Urkundspersonen.</w:t>
      </w:r>
    </w:p>
    <w:p>
      <w:r>
        <w:rPr>
          <w:color w:val="555555"/>
          <w:sz w:val="17"/>
        </w:rPr>
        <w:t xml:space="preserve">Zitiervorschlag: § 8 ErbStDV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https://recht.nulegal.eu/gesetze/ErbStDV%201998/8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ErbStDV 1998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