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ErbStDV 1998 — Anzeigepflicht der Standesämter</w:t>
      </w:r>
    </w:p>
    <w:p>
      <w:r>
        <w:rPr>
          <w:color w:val="555555"/>
          <w:sz w:val="18"/>
        </w:rPr>
        <w:t xml:space="preserve">Erbschaftsteuer-Durchführungsverordnung</w:t>
      </w:r>
    </w:p>
    <w:p>
      <w:r>
        <w:rPr>
          <w:color w:val="555555"/>
          <w:sz w:val="18"/>
        </w:rPr>
        <w:t xml:space="preserve">Stand: 10.06.2019 (konsolidierte Textfassung, kein amtliches Inkrafttretensdatum)</w:t>
      </w:r>
    </w:p>
    <w:p>
      <w:r>
        <w:t xml:space="preserve">(1) Die Standesämter haben für jeden Kalendermonat die Sterbefälle jeweils durch Übersendung der Sterbeurkunde in zweifacher Ausfertigung binnen zehn Tagen nach Ablauf des Monats dem für die Verwaltung der Erbschaftsteuer zuständigen Finanzamt, in dessen Bezirk sich der Sitz des Standesamtes befindet, anzuzeigen. Dabei ist die Ordnungsnummer (§ 5 Abs. 2) anzugeben, die das Finanzamt dem Standesamt zugeteilt hat. Die in Satz 1 genannten Urkunden sind um Angaben zu den in Muster 3 genannten Fragen zu ergänzen, soweit diese Angaben bekannt sind.</w:t>
      </w:r>
    </w:p>
    <w:p>
      <w:r>
        <w:t xml:space="preserve">(2) Sind in dem vorgeschriebenen Zeitraum Sterbefälle nicht beurkundet oder bekannt geworden, hat das Standesamt innerhalb von zehn Tagen nach Ablauf des Zeitraumes unter Angabe der Nummer der letzten Eintragung in das Sterberegister eine Fehlanzeige mit einem Vordruck nach Muster 4 zu übersenden.</w:t>
      </w:r>
    </w:p>
    <w:p>
      <w:r>
        <w:t xml:space="preserve">(3) Die Oberfinanzdirektion kann anordnen,</w:t>
      </w:r>
    </w:p>
    <w:p>
      <w:pPr>
        <w:ind w:left="420"/>
      </w:pPr>
      <w:r>
        <w:t xml:space="preserve">1. daß die Anzeigen von einzelnen Standesämtern für einen längeren oder kürzeren Zeitraum als einen Monat übermittelt werden können,</w:t>
      </w:r>
    </w:p>
    <w:p>
      <w:pPr>
        <w:ind w:left="420"/>
      </w:pPr>
      <w:r>
        <w:t xml:space="preserve">2. daß die Standesämter die Sterbefälle statt der Anzeigen nach Absatz 1 und 2 durch eine Totenliste (Absatz 4) nach Muster 3 anzeigen können,</w:t>
      </w:r>
    </w:p>
    <w:p>
      <w:pPr>
        <w:ind w:left="420"/>
      </w:pPr>
      <w:r>
        <w:t xml:space="preserve">3. daß auf die zweite Ausfertigung der Sterbeurkunde verzichtet werden kann.</w:t>
      </w:r>
    </w:p>
    <w:p>
      <w:r>
        <w:t xml:space="preserve">(4) Totenlisten nach Absatz 3 Nr. 2 sind vorbehaltlich des Absatzes 3 Nr. 1 für jeden Kalendermonat aufzustellen. In die Totenlisten sind einzutragen:</w:t>
      </w:r>
    </w:p>
    <w:p>
      <w:pPr>
        <w:ind w:left="420"/>
      </w:pPr>
      <w:r>
        <w:t xml:space="preserve">1. die Sterbefälle nach der Reihenfolge der Eintragungen in das Sterberegister,</w:t>
      </w:r>
    </w:p>
    <w:p>
      <w:pPr>
        <w:ind w:left="420"/>
      </w:pPr>
      <w:r>
        <w:t xml:space="preserve">2. die dem Standesamt sonst bekanntgewordenen Sterbefälle von Personen, die im Ausland verstorben sind und bei ihrem Tod einen Wohnsitz oder ihren gewöhnlichen Aufenthalt oder Vermögen im Bezirk des Standesamtes gehabt haben.</w:t>
      </w:r>
    </w:p>
    <w:p>
      <w:r>
        <w:t xml:space="preserve">Das Standesamt hat die Totenliste binnen zehn Tagen nach dem Ablauf des Zeitraumes, für den sie aufgestellt ist, nach der in dem Muster 3 vorgeschriebenen Anleitung abzuschließen und dem für die Verwaltung der Erbschaftsteuer zuständigen Finanzamt, in dessen Bezirk sich der Sitz des Standesamtes befindet, einzusenden. Dabei ist die Ordnungsnummer (§ 5 Abs. 2) anzugeben, die das Finanzamt dem Standesamt zugeteilt hat. Sind in dem vorgeschriebenen Zeitraum Sterbefälle nicht beurkundet worden oder bekanntgeworden, hat das Standesamt innerhalb von zehn Tagen nach Ablauf des Zeitraumes diesem Finanzamt eine Fehlanzeige nach Muster 4 zu übersenden. In der Fehlanzeige ist auch die Nummer der letzten Eintragung in das Sterberegister anzugeben.</w:t>
      </w:r>
    </w:p>
    <w:p>
      <w:r>
        <w:rPr>
          <w:color w:val="555555"/>
          <w:sz w:val="17"/>
        </w:rPr>
        <w:t xml:space="preserve">Zitiervorschlag: § 4 ErbStDV 1998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https://recht.nulegal.eu/gesetze/ErbStDV%201998/4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