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ErbStDV 1998 — Inkrafttreten, Außerkrafttreten</w:t>
      </w:r>
    </w:p>
    <w:p>
      <w:r>
        <w:rPr>
          <w:color w:val="555555"/>
          <w:sz w:val="18"/>
        </w:rPr>
        <w:t xml:space="preserve">Erbschaftsteuer-Durchführungsverordnung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1998 in Kraft.</w:t>
      </w:r>
    </w:p>
    <w:p>
      <w:r>
        <w:rPr>
          <w:color w:val="555555"/>
          <w:sz w:val="17"/>
        </w:rPr>
        <w:t xml:space="preserve">Zitiervorschlag: § 13 ErbStDV 1998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https://recht.nulegal.eu/gesetze/ErbStDV%201998/13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