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ErMiV — Verschließung</w:t>
      </w:r>
    </w:p>
    <w:p>
      <w:r>
        <w:rPr>
          <w:color w:val="555555"/>
          <w:sz w:val="18"/>
        </w:rPr>
        <w:t xml:space="preserve">Erhaltungsmischungsverordnung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Packungen oder Behältnisse von Saatgut von Erhaltungsmischungen sind von demjenigen zu schließen und mit einer Sicherung zu versehen, der sie gekennzeichnet hat. § 34 Absatz 2 und 4 der Saatgutverordnung gilt entsprechend.</w:t>
      </w:r>
    </w:p>
    <w:p>
      <w:r>
        <w:t xml:space="preserve">(2) Die Sicherungen dürfen nach Farbe und Aufschrift nicht mit Plomben, Banderolen oder Siegelmarken für Packungen anerkannten Saatgutes verwechselbar sein.</w:t>
      </w:r>
    </w:p>
    <w:p>
      <w:r>
        <w:t xml:space="preserve">(3) Ist eine Verschließung nach Absatz 1 bei direkt geernteten Mischungen aus technischen Gründen nicht möglich, dann darf das Saatgut dieser Mischungen auch in nicht geschlossenen Packungen oder Behältnissen und ohne Verschlusssicherung in den Verkehr gebracht werden.</w:t>
      </w:r>
    </w:p>
    <w:p>
      <w:r>
        <w:rPr>
          <w:color w:val="555555"/>
          <w:sz w:val="17"/>
        </w:rPr>
        <w:t xml:space="preserve">Zitiervorschlag: § 7 ErMiV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https://recht.nulegal.eu/gesetze/ErMiV/7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