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ErMiV — Überwachung durch Sichtkontrollen und Prüfungen</w:t>
      </w:r>
    </w:p>
    <w:p>
      <w:r>
        <w:rPr>
          <w:color w:val="555555"/>
          <w:sz w:val="18"/>
        </w:rPr>
        <w:t xml:space="preserve">Erhaltungsmischungsverordnung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(1) Die zuständige Behörde überwacht die Einhaltung der Anforderungen nach</w:t>
      </w:r>
    </w:p>
    <w:p>
      <w:pPr>
        <w:ind w:left="420"/>
      </w:pPr>
      <w:r>
        <w:t xml:space="preserve">1. § 4 Absatz 1 Satz 1 Nummer 3 durch Sichtkontrollen am Entnahmeort, durch Sichtkontrollen der Vermehrungsflächen oder durch Untersuchung von Saatgutproben,</w:t>
      </w:r>
    </w:p>
    <w:p>
      <w:pPr>
        <w:ind w:left="420"/>
      </w:pPr>
      <w:r>
        <w:t xml:space="preserve">2. § 4 Absatz 1 Satz 1 Nummer 4 durch Sichtkontrollen am Entnahmeort,</w:t>
      </w:r>
    </w:p>
    <w:p>
      <w:pPr>
        <w:ind w:left="420"/>
      </w:pPr>
      <w:r>
        <w:t xml:space="preserve">3. § 4 Absatz 1 Satz 1 Nummer 5 Buchstabe a und b durch Untersuchung von Saatgutproben.</w:t>
      </w:r>
    </w:p>
    <w:p>
      <w:r>
        <w:t xml:space="preserve">(2) Die nach Absatz 1 zu untersuchenden Saatgutproben müssen den zum Inverkehrbringen aufbereiteten Bestandteilen von Saatgutmischungen oder den zum Inverkehrbringen aufbereiteten und verpackten Saatgutmischungen entnommen worden sein. Für die Probenahme gelten die Vorschriften nach Artikel 7 Absatz 2 in Verbindung mit Anlage 3 der Richtlinie 66/401/EWG.</w:t>
      </w:r>
    </w:p>
    <w:p>
      <w:r>
        <w:t xml:space="preserve">(3) Die zuständige Behörde hat die Durchführung der Überwachung aufzuzeichnen.</w:t>
      </w:r>
    </w:p>
    <w:p>
      <w:r>
        <w:rPr>
          <w:color w:val="555555"/>
          <w:sz w:val="17"/>
        </w:rPr>
        <w:t xml:space="preserve">Zitiervorschlag: § 5 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https://recht.nulegal.eu/gesetze/ErMiV/5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