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ErMiV — Anforderungen an Saatgut von Erhaltungsmischungen</w:t>
      </w:r>
    </w:p>
    <w:p>
      <w:r>
        <w:rPr>
          <w:color w:val="555555"/>
          <w:sz w:val="18"/>
        </w:rPr>
        <w:t xml:space="preserve">Erhaltungsmischungsverordnung</w:t>
      </w:r>
    </w:p>
    <w:p>
      <w:r>
        <w:rPr>
          <w:color w:val="555555"/>
          <w:sz w:val="18"/>
        </w:rPr>
        <w:t xml:space="preserve">Stand: 20.10.2023 (konsolidierte Textfassung, kein amtliches Inkrafttretensdatum)</w:t>
      </w:r>
    </w:p>
    <w:p>
      <w:r>
        <w:t xml:space="preserve">(1) Saatgut von Erhaltungsmischungen darf nur innerhalb des Ursprungsgebietes in den Verkehr gebracht werden, in dem sich der Entnahmeort der Erhaltungsmischung befindet, wenn</w:t>
      </w:r>
    </w:p>
    <w:p>
      <w:pPr>
        <w:ind w:left="420"/>
      </w:pPr>
      <w:r>
        <w:t xml:space="preserve">1. eine Genehmigung nach § 3 Absatz 1 erteilt worden ist,</w:t>
      </w:r>
    </w:p>
    <w:p>
      <w:pPr>
        <w:ind w:left="420"/>
      </w:pPr>
      <w:r>
        <w:t xml:space="preserve">2. am Entnahmeort der Erhaltungsmischung mindestens 40 Jahre lang vor Beantragung der Inverkehrbringensgenehmigung nach § 3 Absatz 1 kein Saatgut ausgesät worden ist, es sei denn, es handelt sich um Saatgut einer Erhaltungsmischung, das nach den Maßgaben dieser Verordnung erzeugt worden ist, und es ist sichergestellt, dass am Entnahmeort der Erhaltungsmischung ausschließlich gebietseigenes Saatgut aufwächst; soll der Aufwuchs des Saatgutes einer Erhaltungsmischung als Erhaltungsmischung geerntet werden, erfordert dies die Zustimmung der nach Landesrecht für Naturschutz und Landschaftspflege zuständigen Behörde,</w:t>
      </w:r>
    </w:p>
    <w:p>
      <w:pPr>
        <w:ind w:left="420"/>
      </w:pPr>
      <w:r>
        <w:t xml:space="preserve">3. die Erhaltungsmischung kein Saatgut von Ambrosia artemisiifolia, Avena fatua, Avena sterilis, Bunias orientalis, Heracleum mantegazzianum, Senecio jacobaea, Senecio aquaticus, Senecio alpinus, Senecio inaequidens, Senecio vernalis und von Cuscuta spp., außer von in Deutschland natürlich vorkommenden Cuscuta-Arten und nicht mehr als 0,01 Gewichtsprozent an Saatgut von Rumex spp., außer Rumex acetosa, Rumex acetosella, Rumex thyrsiflorus und Rumex sanguineus, enthält,</w:t>
      </w:r>
    </w:p>
    <w:p>
      <w:pPr>
        <w:ind w:left="420"/>
      </w:pPr>
      <w:r>
        <w:t xml:space="preserve">4. eine direkt geerntete Mischung</w:t>
      </w:r>
    </w:p>
    <w:p>
      <w:pPr>
        <w:ind w:left="780"/>
      </w:pPr>
      <w:r>
        <w:t xml:space="preserve">a) hinsichtlich der prozentualen Zusammensetzung (Gewichtsprozent) und der Keimfähigkeit ihrer einzelnen Bestandteile geeignet ist, die Art des Lebensraumes des Entnahmeortes an einem anderen Ort wiederherzustellen,</w:t>
      </w:r>
    </w:p>
    <w:p>
      <w:pPr>
        <w:ind w:left="780"/>
      </w:pPr>
      <w:r>
        <w:t xml:space="preserve">b) nicht mehr als 1 Gewichtsprozent an Arten oder Unterarten enthält, die nicht die Anforderungen hinsichtlich der prozentualen Zusammensetzung nach Buchstabe a erfüllen,</w:t>
      </w:r>
    </w:p>
    <w:p>
      <w:pPr>
        <w:ind w:left="780"/>
      </w:pPr>
      <w:r>
        <w:t xml:space="preserve">c) (weggefallen)</w:t>
      </w:r>
    </w:p>
    <w:p>
      <w:pPr>
        <w:ind w:left="420"/>
      </w:pPr>
      <w:r>
        <w:t xml:space="preserve">5. bei einer angebauten Mischung sichergestellt ist, dass</w:t>
      </w:r>
    </w:p>
    <w:p>
      <w:pPr>
        <w:ind w:left="780"/>
      </w:pPr>
      <w:r>
        <w:t xml:space="preserve">a) sie Arten oder Unterarten enthält, die typisch für die Art des Lebensraumes am Entnahmeort und von Bedeutung für die Bewahrung der natürlichen Umwelt im Rahmen der Erhaltung genetischer Ressourcen sind,</w:t>
      </w:r>
    </w:p>
    <w:p>
      <w:pPr>
        <w:ind w:left="780"/>
      </w:pPr>
      <w:r>
        <w:t xml:space="preserve">b) das Saatgut der Arten, die unter die Richtlinie 66/401/EWG fallen, die Anforderungen an Handelssaatgut nach Anhang II Abschnitt III in Verbindung mit den Spalten 4 bis 15 der Tabelle in Abschnitt I Nummer 2 Buchstabe A des Anhangs II der Richtlinie 66/401/EWG erfüllt,</w:t>
      </w:r>
    </w:p>
    <w:p>
      <w:pPr>
        <w:ind w:left="780"/>
      </w:pPr>
      <w:r>
        <w:t xml:space="preserve">c) die Vermehrung der jeweiligen Bestandteile der Mischung nicht über mehr als fünf Generationen erfolgt ist,</w:t>
      </w:r>
    </w:p>
    <w:p>
      <w:pPr>
        <w:ind w:left="420"/>
      </w:pPr>
      <w:r>
        <w:t xml:space="preserve">6. das Bundessortenamt demjenigen, der das Saatgut auf der ersten Handelsstufe in den Verkehr bringt, eine Saatgutmenge nach § 6 zugewiesen hat.</w:t>
      </w:r>
    </w:p>
    <w:p>
      <w:r>
        <w:t xml:space="preserve">Im Falle des Satzes 1 Nummer 5 Buchstabe c ist die Vermehrung auch dann zulässig, wenn sich eine Vermehrungsfläche unmittelbar an der Grenze zweier benachbarter Produktionsräume befindet und in den benachbarten Produktionsraum hinein erstreckt.</w:t>
      </w:r>
    </w:p>
    <w:p>
      <w:r>
        <w:t xml:space="preserve">(2) Saatgut von Erhaltungsmischungen oder von deren Komponenten darf darüber hinaus bis zum 1. März 2027 auch in den unmittelbar an das Ursprungsgebiet der jeweiligen Erhaltungsmischung angrenzenden Ursprungsgebieten, vorzugsweise desselben Produktionsraumes, in den Verkehr gebracht werden, sofern für einzelne Komponenten einer aus diesen angrenzenden Ursprungsgebieten stammenden Erhaltungsmischung Saatgut nicht in ausreichender Menge zur Verfügung steht und Saatgut anderer Arten aus den betroffenen angrenzenden Ursprungsgebieten nicht als Ersatz in Frage kommt.</w:t>
      </w:r>
    </w:p>
    <w:p>
      <w:r>
        <w:rPr>
          <w:color w:val="555555"/>
          <w:sz w:val="17"/>
        </w:rPr>
        <w:t xml:space="preserve">Zitiervorschlag: § 4 ErMiV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https://recht.nulegal.eu/gesetze/ErMiV/4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