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ErMiV — Anwendungsbereich</w:t>
      </w:r>
    </w:p>
    <w:p>
      <w:r>
        <w:rPr>
          <w:color w:val="555555"/>
          <w:sz w:val="18"/>
        </w:rPr>
        <w:t xml:space="preserve">Erhaltungsmischungsverordnung</w:t>
      </w:r>
    </w:p>
    <w:p>
      <w:r>
        <w:rPr>
          <w:color w:val="555555"/>
          <w:sz w:val="18"/>
        </w:rPr>
        <w:t xml:space="preserve">Stand: 05.10.2021 (konsolidierte Textfassung, kein amtliches Inkrafttretensdatum)</w:t>
      </w:r>
    </w:p>
    <w:p>
      <w:r>
        <w:t xml:space="preserve">Diese Verordnung gilt für das Inverkehrbringen von Saatgut von Erhaltungsmischungen, welche neben Saatgut von Wildformen von Arten, die in Nummer 1.2 der Anlage zur Verordnung über das Artenverzeichnis zum Saatgutverkehrsgesetz aufgeführt sind, auch Saatgut von Wildformen von Arten, die nicht in Nummer 1.2 der Anlage zur Verordnung über das Artenverzeichnis zum Saatgutverkehrsgesetz aufgeführt sind, enthalten können. Die Verordnung gilt nicht für Mulch, Grünschnitt, Mahdgut und diasporenhaltigen Boden.</w:t>
      </w:r>
    </w:p>
    <w:p>
      <w:r>
        <w:rPr>
          <w:color w:val="555555"/>
          <w:sz w:val="17"/>
        </w:rPr>
        <w:t xml:space="preserve">Zitiervorschlag: § 1 ErMiV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https://recht.nulegal.eu/gesetze/ErMiV/1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