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EpiMPuPSABeschV — Inkrafttreten, Außerkrafttreten</w:t>
      </w:r>
    </w:p>
    <w:p>
      <w:r>
        <w:rPr>
          <w:color w:val="555555"/>
          <w:sz w:val="18"/>
        </w:rPr>
        <w:t xml:space="preserve">Verordnung zur Beschaffung von Medizinprodukten und persönlicher Schutzausrüstung bei der durch das Coronavirus SARS-CoV-2 verursachten Epidemie</w:t>
      </w:r>
    </w:p>
    <w:p>
      <w:r>
        <w:rPr>
          <w:color w:val="555555"/>
          <w:sz w:val="18"/>
        </w:rPr>
        <w:t xml:space="preserve">Historische Fassung: Stand 03.06.2021 bis 01.06.2022. Dies ist nicht die aktuelle Fassung.</w:t>
      </w:r>
    </w:p>
    <w:p>
      <w:r>
        <w:t xml:space="preserve">Diese Verordnung tritt am Tag nach der Verkündung in Kraft. Sie tritt am 31. Mai 2022 außer Kraft.</w:t>
      </w:r>
    </w:p>
    <w:p>
      <w:r>
        <w:rPr>
          <w:color w:val="555555"/>
          <w:sz w:val="17"/>
        </w:rPr>
        <w:t xml:space="preserve">Zitiervorschlag: § 2 EpiMPuPSABeschV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https://recht.nulegal.eu/gesetze/EpiMPuPSABeschV/2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