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EntwHStG — Steuerfreie Rücklage für Beteiligungen an Kapitalgesellschaften in Entwicklungsländern, die von der Entwicklungsgesellschaft erworben werden</w:t>
      </w:r>
    </w:p>
    <w:p>
      <w:r>
        <w:rPr>
          <w:color w:val="555555"/>
          <w:sz w:val="18"/>
        </w:rPr>
        <w:t xml:space="preserve">Entwicklungsländer-Steuergesetz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Steuerpflichtige, die mit Mitteln eines inländischen Betriebs, dessen Gewinn nach § 4 Abs. 1 oder § 5 des Einkommensteuergesetzes ermittelt wird, von der Deutschen Gesellschaft für wirtschaftliche Zusammenarbeit (Entwicklungsgesellschaft) mit beschränkter Haftung Beteiligungen an Kapitalgesellschaften in Entwicklungsländern erwerben, bei denen die Voraussetzungen des § 1 Abs. 3 Satz 1 letzter Halbsatz erfüllt sind, können im Wirtschaftsjahr der Anschaffung zu Lasten des Gewinns des inländischen Betriebs eine Rücklage bilden. § 1 Abs. 1 Satz 2 und 4 gilt entsprechend. Die Rücklage ist spätestens vom sechsten auf ihre Bildung folgenden Wirtschaftsjahr an jährlich mit mindestens einem Sechstel gewinnerhöhend aufzulösen.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 EntwHStG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https://recht.nulegal.eu/gesetze/EntwHStG/2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