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EntsorgFondsGZVereinnV — Inkrafttreten</w:t>
      </w:r>
    </w:p>
    <w:p>
      <w:r>
        <w:rPr>
          <w:color w:val="555555"/>
          <w:sz w:val="18"/>
        </w:rPr>
        <w:t xml:space="preserve">Verordnung über die Vereinnahmung von Zahlungen nach dem Entsorgungsfondsgesetz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der Verkündung in Kraft.</w:t>
      </w:r>
    </w:p>
    <w:p>
      <w:r>
        <w:rPr>
          <w:color w:val="555555"/>
          <w:sz w:val="17"/>
        </w:rPr>
        <w:t xml:space="preserve">Zitiervorschlag: § 8 EntsorgFondsGZVereinnV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https://recht.nulegal.eu/gesetze/EntsorgFondsGZVereinnV/8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EntsorgFondsGZVereinnV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