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EntsorgFondsGZVereinnV — Schriftliche Zahlungsaufforderung</w:t>
      </w:r>
    </w:p>
    <w:p>
      <w:r>
        <w:rPr>
          <w:color w:val="555555"/>
          <w:sz w:val="18"/>
        </w:rPr>
        <w:t xml:space="preserve">Verordnung über die Vereinnahmung von Zahlungen nach dem Entsorgungsfondsgesetz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Zahlungen nach § 8 Absatz 1 und 2 des Entsorgungsfondsgesetzes schickt das Bundesamt für Wirtschaft und Ausfuhrkontrolle dem Einzahlenden eine schriftliche Zahlungsaufforderung zu. In der Zahlungsaufforderung sind anzugeben:</w:t>
      </w:r>
    </w:p>
    <w:p>
      <w:pPr>
        <w:ind w:left="420"/>
      </w:pPr>
      <w:r>
        <w:t xml:space="preserve">1. wesentliche Gründe für die Zahlungsaufforderung,</w:t>
      </w:r>
    </w:p>
    <w:p>
      <w:pPr>
        <w:ind w:left="420"/>
      </w:pPr>
      <w:r>
        <w:t xml:space="preserve">2. Höhe des zu zahlenden Betrags,</w:t>
      </w:r>
    </w:p>
    <w:p>
      <w:pPr>
        <w:ind w:left="420"/>
      </w:pPr>
      <w:r>
        <w:t xml:space="preserve">3. Frist für die Leistung der Zahlung.</w:t>
      </w:r>
    </w:p>
    <w:p>
      <w:r>
        <w:rPr>
          <w:color w:val="555555"/>
          <w:sz w:val="17"/>
        </w:rPr>
        <w:t xml:space="preserve">Zitiervorschlag: § 4 EntsorgFondsGZVereinnV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https://recht.nulegal.eu/gesetze/EntsorgFondsGZVereinnV/4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