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EntsorgFondsGZVereinnV — Leistungszeitpunkt</w:t>
      </w:r>
    </w:p>
    <w:p>
      <w:r>
        <w:rPr>
          <w:color w:val="555555"/>
          <w:sz w:val="18"/>
        </w:rPr>
        <w:t xml:space="preserve">Verordnung über die Vereinnahmung von Zahlungen nach dem 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Einzahlende ist nicht berechtigt, den Grundbetrag nach § 7 Absatz 2 Satz 1 des Entsorgungsfondsgesetzes (Grundbetrag) und den Risikoaufschlag nach § 7 Absatz 3 Satz 1 des Entsorgungsfondsgesetzes (Risikoaufschlag) vor dem 1. Juli 2017 zu leisten.</w:t>
      </w:r>
    </w:p>
    <w:p>
      <w:r>
        <w:t xml:space="preserve">(2) Eine Zahlung des Grundbetrags und des Risikoaufschlags am ersten Werktag nach dem 1. Juli 2017 wird bei der Berechnung von Zinsen nach § 7 Absatz 2 Satz 2 und 4 sowie Absatz 3 Satz 1 des Entsorgungsfondsgesetzes so behandelt wie eine Zahlung zum 1. Juli 2017.</w:t>
      </w:r>
    </w:p>
    <w:p>
      <w:r>
        <w:rPr>
          <w:color w:val="555555"/>
          <w:sz w:val="17"/>
        </w:rPr>
        <w:t xml:space="preserve">Zitiervorschlag: § 3 EntsorgFondsGZVereinnV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https://recht.nulegal.eu/gesetze/EntsorgFondsGZVereinnV/3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EntsorgFondsGZVereinnV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