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EntsorgFondsGZVereinnV — Vornahme von Zahlungen</w:t>
      </w:r>
    </w:p>
    <w:p>
      <w:r>
        <w:rPr>
          <w:color w:val="555555"/>
          <w:sz w:val="18"/>
        </w:rPr>
        <w:t xml:space="preserve">Verordnung über die Vereinnahmung von Zahlungen nach dem Entsorgungsfondsgesetz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Einzahlende leistet Einzahlungen nach dem Entsorgungsfondsgesetz ausschließlich auf das mitgeteilte Konto.</w:t>
      </w:r>
    </w:p>
    <w:p>
      <w:r>
        <w:t xml:space="preserve">(2) Bei Vornahme der Zahlung sind im Verwendungszweck anzugeben:</w:t>
      </w:r>
    </w:p>
    <w:p>
      <w:pPr>
        <w:ind w:left="420"/>
      </w:pPr>
      <w:r>
        <w:t xml:space="preserve">1. Einzahlender einschließlich der Angabe der Anlage zur Spaltung von Kernbrennstoffen zur gewerblichen Erzeugung von Elektrizität nach Anhang 2 des Entsorgungsfondsgesetzes, für die die Zahlung geleistet wird,</w:t>
      </w:r>
    </w:p>
    <w:p>
      <w:pPr>
        <w:ind w:left="420"/>
      </w:pPr>
      <w:r>
        <w:t xml:space="preserve">2. Zahlungszweck einschließlich der Angabe der rechtlichen Grundlage der Zahlung nach dem Entsorgungsfondsgesetz (Tilgungsbestimmung).</w:t>
      </w:r>
    </w:p>
    <w:p>
      <w:r>
        <w:rPr>
          <w:color w:val="555555"/>
          <w:sz w:val="17"/>
        </w:rPr>
        <w:t xml:space="preserve">Zitiervorschlag: § 2 EntsorgFondsGZVereinnV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https://recht.nulegal.eu/gesetze/EntsorgFondsGZVereinnV/2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