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EntsorgFondsG — Fondsvermögen</w:t>
      </w:r>
    </w:p>
    <w:p>
      <w:r>
        <w:rPr>
          <w:color w:val="555555"/>
          <w:sz w:val="18"/>
        </w:rPr>
        <w:t xml:space="preserve">Entsorgungsfondsgesetz</w:t>
      </w:r>
    </w:p>
    <w:p>
      <w:r>
        <w:rPr>
          <w:color w:val="555555"/>
          <w:sz w:val="18"/>
        </w:rPr>
        <w:t xml:space="preserve">Stand: 10.06.2019 (konsolidierte Textfassung, kein amtliches Inkrafttretensdatum)</w:t>
      </w:r>
    </w:p>
    <w:p>
      <w:r>
        <w:t xml:space="preserve">(1) Dem Fonds fließen Zahlungen für die abgezinsten zukünftigen Entsorgungskosten und für den Risikoaufschlag von den Einzahlenden nach den nachstehenden Bestimmungen zu.</w:t>
      </w:r>
    </w:p>
    <w:p>
      <w:r>
        <w:t xml:space="preserve">(2) Der Einzahlende ist verpflichtet, am 1. Juli 2017 den in Anhang 2 benannten Betrag, der den abgezinsten zukünftigen Entsorgungskosten entspricht (Grundbetrag), in Barmitteln an den Fonds zu entrichten. Der in Anhang 2 benannte Betrag ist ab dem 1. Januar 2017 mit 4,58 Prozent pro Jahr zu verzinsen. Entsorgungskosten, die einem Einzahlenden zwischen dem 1. Januar 2017 und dem Fälligkeitszeitpunkt nach Satz 1 entstehen, werden von dem in Anhang 2 genannten Betrag abgezogen, soweit der Einzahlende die Ausgaben gegenüber dem Fonds nachweist. Kommt der Einzahlende mit der Zahlung in Verzug, gilt in Abweichung von Satz 2 § 288 Absatz 2 des Bürgerlichen Gesetzbuchs entsprechend.</w:t>
      </w:r>
    </w:p>
    <w:p>
      <w:r>
        <w:t xml:space="preserve">(3) Der Einzahlende kann zum Zahlungszeitpunkt gemäß Absatz 2, spätestens bis zum 31. Dezember 2022, den in Anhang 2 benannten Risikoaufschlag nebst Zinsen in Höhe von 4,58 Prozent pro Jahr, berechnet für den Zeitraum zwischen der Fälligkeit der Einzahlung des Grundbetrages nach Absatz 2 Satz 1 und dem Tag der Einzahlung dieses Risikoaufschlags, in Barmitteln an den Fonds entrichten. Mit Einzahlung des Risikoaufschlags endet die Verpflichtung des Einzahlenden zur Leistung von etwaigen Nachschüssen in den Fonds gemäß § 8 Absatz 2.</w:t>
      </w:r>
    </w:p>
    <w:p>
      <w:r>
        <w:t xml:space="preserve">(4) Für den Gesamtbetrag, bestehend aus den Beträgen gemäß den Absätzen 2 und 3, kann das Bundesministerium für Wirtschaft und Energie im Einvernehmen mit dem Bundesministerium der Finanzen mit dem Einzahlenden eine Ratenzahlung vereinbaren. Die letzte Rate ist spätestens bis zum 31. Dezember 2026 zu zahlen. Der jeweils noch ausstehende Betrag ist mit mindestens 4,58 Prozent pro Jahr zu verzinsen. Für die Wirksamkeit einer solchen Ratenzahlungsvereinbarung hat der Einzahlende eine anspruchssichernde Sicherheitsleistung zu erbringen. Die Höhe der ersten Rate beträgt mindestens 20 Prozent des Gesamtbetrags. Eine Aufrechnung mit anderen Forderungen sowie die Geltendmachung eines Zurückbehaltungsrechts sind ausgeschlossen.</w:t>
      </w:r>
    </w:p>
    <w:p>
      <w:r>
        <w:rPr>
          <w:color w:val="555555"/>
          <w:sz w:val="17"/>
        </w:rPr>
        <w:t xml:space="preserve">Zitiervorschlag: § 7 EntsorgFondsG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https://recht.nulegal.eu/gesetze/EntsorgFondsG/7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