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EntsorgFondsG — Satzung</w:t>
      </w:r>
    </w:p>
    <w:p>
      <w:r>
        <w:rPr>
          <w:color w:val="555555"/>
          <w:sz w:val="18"/>
        </w:rPr>
        <w:t xml:space="preserve">Entsorgungsfondsgesetz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Kuratorium erlässt eine Satzung. In der Satzung werden die Einzelheiten der Organisation und der Ausführung der Aufgaben des Fonds geregelt.</w:t>
      </w:r>
    </w:p>
    <w:p>
      <w:r>
        <w:rPr>
          <w:color w:val="555555"/>
          <w:sz w:val="17"/>
        </w:rPr>
        <w:t xml:space="preserve">Zitiervorschlag: § 6 EntsorgFondsG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