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EntsorgFondsG — Vorstand</w:t>
      </w:r>
    </w:p>
    <w:p>
      <w:r>
        <w:rPr>
          <w:color w:val="555555"/>
          <w:sz w:val="18"/>
        </w:rPr>
        <w:t xml:space="preserve">Entsorgungsfondsgesetz</w:t>
      </w:r>
    </w:p>
    <w:p>
      <w:r>
        <w:rPr>
          <w:color w:val="555555"/>
          <w:sz w:val="18"/>
        </w:rPr>
        <w:t xml:space="preserve">Stand: 14.08.2021 (konsolidierte Textfassung, kein amtliches Inkrafttretensdatum)</w:t>
      </w:r>
    </w:p>
    <w:p>
      <w:r>
        <w:t xml:space="preserve">(1) Der Vorstand führt die Beschlüsse des Kuratoriums aus und führt die Geschäfte der Stiftung. Er beschließt mit der einfachen Mehrheit seiner Mitglieder. Er ist berechtigt, externe Dienstleister zu beauftragen. Das Nähere regelt die Satzung.</w:t>
      </w:r>
    </w:p>
    <w:p>
      <w:r>
        <w:t xml:space="preserve">(2) Der Vorstand besteht aus drei Mitgliedern, die über große Erfahrung in der Anlage und dem Management bedeutender Vermögen verfügen. Die Mitglieder des Vorstands werden vom Kuratorium bestellt. Mitglieder des Vorstands dürfen nicht zugleich dem Kuratorium angehören.</w:t>
      </w:r>
    </w:p>
    <w:p>
      <w:r>
        <w:t xml:space="preserve">(3) Der Vorstand vertritt die Stiftung gerichtlich und außergerichtlich. Das Nähere regelt die Satzung.</w:t>
      </w:r>
    </w:p>
    <w:p>
      <w:r>
        <w:t xml:space="preserve">(4) Der Vorstand legt dem Kuratorium auf Grundlage der allgemeinen Marktentwicklung die grundsätzliche Ausrichtung der Anlageentscheidungen zur Entscheidung vor. Der Vorstand schreibt die Anlagepolitik mindestens einmal im Jahr fort.</w:t>
      </w:r>
    </w:p>
    <w:p>
      <w:r>
        <w:t xml:space="preserve">(5) Die Bundesregierung kann konkrete Anlagevorhaben durch Weisung untersagen. Die Berichtspflichten des Fonds ergeben sich aus den §§ 11, 12 und 12a sowie aus den Vorgaben der Satzung.</w:t>
      </w:r>
    </w:p>
    <w:p>
      <w:r>
        <w:rPr>
          <w:color w:val="555555"/>
          <w:sz w:val="17"/>
        </w:rPr>
        <w:t xml:space="preserve">Zitiervorschlag: § 5 EntsorgFondsG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https://recht.nulegal.eu/gesetze/EntsorgFondsG/5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