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EntsorgFondsG — Verordnungsermächtigungen</w:t>
      </w:r>
    </w:p>
    <w:p>
      <w:r>
        <w:rPr>
          <w:color w:val="555555"/>
          <w:sz w:val="18"/>
        </w:rPr>
        <w:t xml:space="preserve">Entsorgungsfondsgesetz</w:t>
      </w:r>
    </w:p>
    <w:p>
      <w:r>
        <w:rPr>
          <w:color w:val="555555"/>
          <w:sz w:val="18"/>
        </w:rPr>
        <w:t xml:space="preserve">Stand: 12.08.2020 (konsolidierte Textfassung, kein amtliches Inkrafttretensdatum)</w:t>
      </w:r>
    </w:p>
    <w:p>
      <w:r>
        <w:t xml:space="preserve">(1) Das Bundesministerium für Wirtschaft und Energie wird ermächtigt, im Einvernehmen mit dem Bundesministerium der Finanzen und dem Bundesministerium für Umwelt, Naturschutz und nukleare Sicherheit durch Rechtsverordnung, die nicht der Zustimmung des Bundesrates bedarf, die in Anhang 2 festgesetzten Einzahlungsbeträge unter Berücksichtigung der Differenz zwischen den für die Jahre 2015 und 2016 kalkulierten Ausgaben der Einzahlenden und den durch einen Wirtschaftsprüfer oder eine Wirtschaftsprüfungsgesellschaft bestätigten tatsächlichen Ausgaben der Einzahlenden zu ändern.</w:t>
      </w:r>
    </w:p>
    <w:p>
      <w:r>
        <w:t xml:space="preserve">(2) Das Bundesministerium für Wirtschaft und Energie regelt im Einvernehmen mit dem Bundesministerium der Finanzen nähere Einzelheiten zur Vereinnahmung der Zahlungen nach § 7 Absatz 2 bis 4 und § 8 durch Rechtsverordnung, die nicht der Zustimmung des Bundesrates bedarf.</w:t>
      </w:r>
    </w:p>
    <w:p>
      <w:r>
        <w:rPr>
          <w:color w:val="555555"/>
          <w:sz w:val="17"/>
        </w:rPr>
        <w:t xml:space="preserve">Zitiervorschlag: § 15 EntsorgFondsG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https://recht.nulegal.eu/gesetze/EntsorgFondsG/15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