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EntsorgFondsG — Auflösung</w:t>
      </w:r>
    </w:p>
    <w:p>
      <w:r>
        <w:rPr>
          <w:color w:val="555555"/>
          <w:sz w:val="18"/>
        </w:rPr>
        <w:t xml:space="preserve">Entsorgungsfondsgesetz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Fonds ist bei Verbrauch seiner Mittel, spätestens jedoch nach Erfüllung seines Zwecks aufzulösen.</w:t>
      </w:r>
    </w:p>
    <w:p>
      <w:r>
        <w:t xml:space="preserve">(2) Ein nach Auflösung des Fonds verbleibendes Vermögen fällt dem Bund zu.</w:t>
      </w:r>
    </w:p>
    <w:p>
      <w:r>
        <w:rPr>
          <w:color w:val="555555"/>
          <w:sz w:val="17"/>
        </w:rPr>
        <w:t xml:space="preserve">Zitiervorschlag: § 14 EntsorgFondsG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https://recht.nulegal.eu/gesetze/EntsorgFondsG/14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