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EntsorgFondsG — Ausführung und Änderung des Wirtschaftsplans</w:t>
      </w:r>
    </w:p>
    <w:p>
      <w:r>
        <w:rPr>
          <w:color w:val="555555"/>
          <w:sz w:val="18"/>
        </w:rPr>
        <w:t xml:space="preserve">Entsorgungsfondsgesetz</w:t>
      </w:r>
    </w:p>
    <w:p>
      <w:r>
        <w:rPr>
          <w:color w:val="555555"/>
          <w:sz w:val="18"/>
        </w:rPr>
        <w:t xml:space="preserve">Stand: 14.08.2021 (konsolidierte Textfassung, kein amtliches Inkrafttretensdatum)</w:t>
      </w:r>
    </w:p>
    <w:p>
      <w:r>
        <w:t xml:space="preserve">(1) Verwaltungsaufwendungen müssen durch Ansätze im Wirtschaftsplan gedeckt sein. Verwaltungsaufwendungen, für die die Ansätze im Wirtschaftsplan nicht genügen oder für die keine Ansätze vorhanden sind, bedürfen keiner Einwilligung des Bundesministeriums für Wirtschaft und Energie im Einvernehmen mit dem Bundesministerium der Finanzen und dem Bundesministerium für Umwelt, Naturschutz und nukleare Sicherheit, soweit diese unvorhergesehen und unabdingbar für die Tätigkeit des Fonds sind und die Deckungsfähigkeit im Wirtschaftsplan für das Kalenderjahr insgesamt gewährleistet ist.</w:t>
      </w:r>
    </w:p>
    <w:p>
      <w:r>
        <w:t xml:space="preserve">(2) Der Wirtschaftsplan ist zu ändern, wenn sich die Plan-Gewinn-und-Verlust-Rechnung oder der Finanzplan gegenüber dem ursprünglichen Wirtschaftsplan erheblich verändert. Eine erhebliche Veränderung liegt vor, wenn die Gesamtaufwendungen der Plan-Gewinn-und-Verlust-Rechnung oder die Gesamtausgaben des Finanzplans den jeweiligen Gesamtansatz um mehr als 20 Prozent überschreitet. Für die Änderung des Wirtschaftsplans gilt § 11 Absatz 6 bis 11 entsprechend.</w:t>
      </w:r>
    </w:p>
    <w:p>
      <w:r>
        <w:rPr>
          <w:color w:val="555555"/>
          <w:sz w:val="17"/>
        </w:rPr>
        <w:t xml:space="preserve">Zitiervorschlag: § 11a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