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EntsorgÜG — Übergang der Finanzierungspflicht für Anlagen zur Endlagerung radioaktiver Abfälle</w:t>
      </w:r>
    </w:p>
    <w:p>
      <w:r>
        <w:rPr>
          <w:color w:val="555555"/>
          <w:sz w:val="18"/>
        </w:rPr>
        <w:t xml:space="preserve">Entsorgungsübergangsgesetz</w:t>
      </w:r>
    </w:p>
    <w:p>
      <w:r>
        <w:rPr>
          <w:color w:val="555555"/>
          <w:sz w:val="18"/>
        </w:rPr>
        <w:t xml:space="preserve">Stand: 19.06.2021 (konsolidierte Textfassung, kein amtliches Inkrafttretensdatum)</w:t>
      </w:r>
    </w:p>
    <w:p>
      <w:r>
        <w:t xml:space="preserve">Die folgenden künftigen Verpflichtungen des Betreibers einer in Anhang 1 des Entsorgungsfondsgesetzes aufgeführten Anlage zur Spaltung von Kernbrennstoffen zur gewerblichen Erzeugung von Elektrizität gehen an den Fonds nach dem Entsorgungsfondsgesetz über, wenn für die Anlage der nach § 7 Absatz 2 des Entsorgungsfondsgesetzes fällige Grundbetrag oder die erste Rate auf Grundlage einer nach § 7 Absatz 4 Satz 3 des Entsorgungsfondsgesetzes wirksamen Ratenzahlungsvereinbarung erfüllt wurde:</w:t>
      </w:r>
    </w:p>
    <w:p>
      <w:pPr>
        <w:ind w:left="420"/>
      </w:pPr>
      <w:r>
        <w:t xml:space="preserve">1. Entrichtung von Kosten oder Entgelten aufgrund von § 21a des Atomgesetzes;</w:t>
      </w:r>
    </w:p>
    <w:p>
      <w:pPr>
        <w:ind w:left="420"/>
      </w:pPr>
      <w:r>
        <w:t xml:space="preserve">2. Entrichtung von Beiträgen und Vorausleistungen aufgrund von § 21b des Atomgesetzes sowie</w:t>
      </w:r>
    </w:p>
    <w:p>
      <w:pPr>
        <w:ind w:left="420"/>
      </w:pPr>
      <w:r>
        <w:t xml:space="preserve">3. Entrichtung von Umlagen aufgrund von § 28 des Standortauswahlgesetzes.</w:t>
      </w:r>
    </w:p>
    <w:p>
      <w:r>
        <w:rPr>
          <w:color w:val="555555"/>
          <w:sz w:val="17"/>
        </w:rPr>
        <w:t xml:space="preserve">Zitiervorschlag: § 1 EntsorgÜG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https://recht.nulegal.eu/gesetze/Entsorg%C3%9CG/1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