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EntschVO NRW (Nordrhein-Westfalen) — Aufwandsentschädigungen für Mitglieder der Kreistage</w:t>
      </w:r>
    </w:p>
    <w:p>
      <w:r>
        <w:rPr>
          <w:color w:val="555555"/>
          <w:sz w:val="18"/>
        </w:rPr>
        <w:t xml:space="preserve">Entschädigungsverordnung Nordrhein-Westfalen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Höhe der monatlichen Voll- oder Teilpauschale beträgt für Mitglieder der Kreistage</w:t>
      </w:r>
    </w:p>
    <w:p>
      <w:r>
        <w:t xml:space="preserve">in Kreisen</w:t>
      </w:r>
    </w:p>
    <w:p>
      <w:r>
        <w:t xml:space="preserve">1. mit bis zu 200 000 Einwohnerinnen und Einwohnern für die Vollpauschale 427,90 Euro oder für die Teilpauschale 349,10 Euro und</w:t>
      </w:r>
    </w:p>
    <w:p>
      <w:r>
        <w:t xml:space="preserve">2. mit über 200 000 Einwohnerinnen und Einwohner für die Vollpauschale 546,20 Euro oder für die Teilpauschale 467,40 Euro.</w:t>
      </w:r>
    </w:p>
    <w:p>
      <w:r>
        <w:t xml:space="preserve">(2) § 2 Absatz 3 gilt entsprechend.</w:t>
      </w:r>
    </w:p>
    <w:p>
      <w:r>
        <w:t xml:space="preserve">(3) Für sachkundige Bürgerinnen und Bürger oder sachkundige Einwohnerinnen und Einwohner gilt § 2 Absatz 4 Satz 1 und 2 entsprechend. Die Höhe des Sitzungsgeldes beträgt in Kreisen</w:t>
      </w:r>
    </w:p>
    <w:p>
      <w:r>
        <w:t xml:space="preserve">1. mit bis zu 200 000 Einwohnerinnen und Einwohnern 45,10 Euro und</w:t>
      </w:r>
    </w:p>
    <w:p>
      <w:r>
        <w:t xml:space="preserve">2. mit über 200 000 Einwohnerinnen und Einwohnern 56,30 Euro.</w:t>
      </w:r>
    </w:p>
    <w:p>
      <w:r>
        <w:rPr>
          <w:color w:val="555555"/>
          <w:sz w:val="17"/>
        </w:rPr>
        <w:t xml:space="preserve">Zitiervorschlag: § 3 EntschVO NRW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https://recht.nulegal.eu/gesetze/EntschVO%20NRW/3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