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EntschVO NRW (Nordrhein-Westfalen) — Inkrafttreten und Außerkrafttreten</w:t>
      </w:r>
    </w:p>
    <w:p>
      <w:r>
        <w:rPr>
          <w:color w:val="555555"/>
          <w:sz w:val="18"/>
        </w:rPr>
        <w:t xml:space="preserve">Entschädigungsverordnung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2026 in Kraft. Gleichzeitig tritt die Entschädigungsverordnung Nordrhein-Westfalen vom 26. September 2023 (GV. NRW. S. 1140) außer Kraft.</w:t>
      </w:r>
    </w:p>
    <w:p>
      <w:r>
        <w:rPr>
          <w:color w:val="555555"/>
          <w:sz w:val="17"/>
        </w:rPr>
        <w:t xml:space="preserve">Zitiervorschlag: § 11 EntschVO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https://recht.nulegal.eu/gesetze/EntschVO%20NRW/11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