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 EntschVO NRW (Nordrhein-Westfalen) — Regelmäßige Anpassung der Aufwandsentschädigungssätze</w:t>
      </w:r>
    </w:p>
    <w:p>
      <w:r>
        <w:rPr>
          <w:color w:val="555555"/>
          <w:sz w:val="18"/>
        </w:rPr>
        <w:t xml:space="preserve">Entschädigungsverordnung Nordrhein-Westfalen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Aufwandsentschädigungssätze nach den §§ 2 bis 4 und 5 Absatz 5 erhöhen sich jährlich, beginnend ab dem 1. Januar 2027, um zwei Prozent. Das für Kommunales zuständige Ministerium macht die jeweils geltenden, auf die erste Dezimalstelle zu rundenden Entschädigungssätze öffentlich bekannt.</w:t>
      </w:r>
    </w:p>
    <w:p>
      <w:r>
        <w:rPr>
          <w:color w:val="555555"/>
          <w:sz w:val="17"/>
        </w:rPr>
        <w:t xml:space="preserve">Zitiervorschlag: § 10 EntschVO NRW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https://recht.nulegal.eu/gesetze/EntschVO%20NRW/10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