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EntschVO G 10 (Nordrhein-Westfalen) — Inkrafttreten, Außerkrafttreten</w:t>
      </w:r>
    </w:p>
    <w:p>
      <w:r>
        <w:rPr>
          <w:color w:val="555555"/>
          <w:sz w:val="18"/>
        </w:rPr>
        <w:t xml:space="preserve">Entschädigungsverordnung G 10-Kommission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Verordnung über die Entschädigung gemäß § 30 Absatz 8 des Gesetzes über den Verfassungsschutz in Nordrhein-Westfalen vom 10. Dezember 1996 (GV. NRW. S. 519), die zuletzt durch Verordnung vom 2. September 2014 (GV. NRW. S. 476) geändert worden ist, außer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des Innern</w:t>
      </w:r>
    </w:p>
    <w:p>
      <w:r>
        <w:rPr>
          <w:color w:val="555555"/>
          <w:sz w:val="17"/>
        </w:rPr>
        <w:t xml:space="preserve">Zitiervorschlag: § 2 EntschVO G 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https://recht.nulegal.eu/gesetze/EntschVO%20G%2010/2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