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EntschRG</w:t>
      </w:r>
    </w:p>
    <w:p>
      <w:r>
        <w:rPr>
          <w:color w:val="555555"/>
          <w:sz w:val="18"/>
        </w:rPr>
        <w:t xml:space="preserve">Entschädigungsrentengesetz</w:t>
      </w:r>
    </w:p>
    <w:p>
      <w:r>
        <w:rPr>
          <w:color w:val="555555"/>
          <w:sz w:val="18"/>
        </w:rPr>
        <w:t xml:space="preserve">Stand: 10.06.2019 (konsolidierte Textfassung, kein amtliches Inkrafttretensdatum)</w:t>
      </w:r>
    </w:p>
    <w:p>
      <w:r>
        <w:t xml:space="preserve">Entschädigungsrenten und Leistungen aufgrund der nach § 8 zu erlassenden Richtlinien bleiben als Einkommen bei Sozialleistungen, deren Gewährung von anderen Einkommen abhängig ist, unberücksichtigt. Bei Inanspruchnahme von Leistungen nach dem Zwölften Buch Sozialgesetzbuch werden Entschädigungsrenten und Leistungen aufgrund der nach § 8 zu erlassenden Richtlinien zur Hälfte angerechnet.</w:t>
      </w:r>
    </w:p>
    <w:p>
      <w:r>
        <w:rPr>
          <w:color w:val="555555"/>
          <w:sz w:val="17"/>
        </w:rPr>
        <w:t xml:space="preserve">Zitiervorschlag: § 4 EntschRG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