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EntschG — Anrechnung einer erhaltenen Gegenleistung oder einer Entschädigung</w:t>
      </w:r>
    </w:p>
    <w:p>
      <w:r>
        <w:rPr>
          <w:color w:val="555555"/>
          <w:sz w:val="18"/>
        </w:rPr>
        <w:t xml:space="preserve">Entschädigungsgesetz</w:t>
      </w:r>
    </w:p>
    <w:p>
      <w:r>
        <w:rPr>
          <w:color w:val="555555"/>
          <w:sz w:val="18"/>
        </w:rPr>
        <w:t xml:space="preserve">Stand: 10.01.2024 (konsolidierte Textfassung, kein amtliches Inkrafttretensdatum)</w:t>
      </w:r>
    </w:p>
    <w:p>
      <w:r>
        <w:t xml:space="preserve">(1) Hat der Berechtigte nach § 2 Abs. 1 des Vermögensgesetzes oder sein Gesamtrechtsvorgänger für den zu entschädigenden Vermögenswert eine Gegenleistung oder eine Entschädigung erhalten, so ist diese einschließlich zugeflossener Zinsen unter Berücksichtigung des Umstellungsverhältnisses von zwei Mark der Deutschen Demokratischen Republik zu einer Deutschen Mark von der Bemessungsgrundlage abzuziehen. Dies gilt nicht, wenn die Gegenleistung oder die Entschädigung an den Verfügungsberechtigten oder in den Fällen des § 2 Abs. 4 des Verwaltungsrechtlichen Rehabilitierungsgesetzes die Ausgleichsleistung an den Entschädigungsfonds schon herausgegeben wurde oder noch herauszugeben ist. Ist die Gegenleistung oder die Entschädigung dem Berechtigten, einem Anteilsberechtigten oder deren Gesamtrechtsvorgänger nicht oder nur teilweise zugeflossen, ist dies bei der Ermittlung des Abzugsbetrages zu berücksichtigen; Beträge, die mit rechtsbeständigen Verbindlichkeiten des Berechtigten wie Unterhaltsschulden, Darlehensforderungen, nicht diskriminierenden Gebühren oder Steuern verrechnet wurden, gelten als ihm zugeflossen.</w:t>
      </w:r>
    </w:p>
    <w:p>
      <w:r>
        <w:t xml:space="preserve">(2) Ist der Berechtigte eine juristische Person oder eine rechtsfähige Personengesellschaft und ist die Gegenleistung oder die Entschädigung einem Anteilsberechtigten gewährt worden, so gilt diese für die Zwecke der Anrechnung als dem Berechtigten zugeflossen.</w:t>
      </w:r>
    </w:p>
    <w:p>
      <w:r>
        <w:rPr>
          <w:color w:val="555555"/>
          <w:sz w:val="17"/>
        </w:rPr>
        <w:t xml:space="preserve">Zitiervorschlag: § 6 EntschG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https://recht.nulegal.eu/gesetze/EntschG/6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