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EntschG — Einnahmen des Entschädigungsfonds</w:t>
      </w:r>
    </w:p>
    <w:p>
      <w:r>
        <w:rPr>
          <w:color w:val="555555"/>
          <w:sz w:val="18"/>
        </w:rPr>
        <w:t xml:space="preserve">Entschädigungsgesetz</w:t>
      </w:r>
    </w:p>
    <w:p>
      <w:r>
        <w:rPr>
          <w:color w:val="555555"/>
          <w:sz w:val="18"/>
        </w:rPr>
        <w:t xml:space="preserve">Stand: 10.06.2019 (konsolidierte Textfassung, kein amtliches Inkrafttretensdatum)</w:t>
      </w:r>
    </w:p>
    <w:p>
      <w:r>
        <w:t xml:space="preserve">(1) An den Entschädigungsfonds sind abzuführen:</w:t>
      </w:r>
    </w:p>
    <w:p>
      <w:pPr>
        <w:ind w:left="420"/>
      </w:pPr>
      <w:r>
        <w:t xml:space="preserve">1. von der Treuhandanstalt 3 Milliarden Deutsche Mark aus ihren Veräußerungserlösen. Das Bundesministerium der Finanzen setzt die pauschalen Jahresbeträge unter Berücksichtigung des Finanzbedarfs des Entschädigungsfonds fest;</w:t>
      </w:r>
    </w:p>
    <w:p>
      <w:pPr>
        <w:ind w:left="420"/>
      </w:pPr>
      <w:r>
        <w:t xml:space="preserve">2. 50 vom Hundert des Gesamtwertes des Finanzvermögens in Treuhandverwaltung des Bundes nach Artikel 22 Abs. 1 des Einigungsvertrages, fällig in jährlichen Raten entsprechend den Erlösen aus der Veräußerung von Vermögensgegenständen. Das Bundesministerium der Finanzen setzt die Höhe der Raten fest;</w:t>
      </w:r>
    </w:p>
    <w:p>
      <w:pPr>
        <w:ind w:left="420"/>
      </w:pPr>
      <w:r>
        <w:t xml:space="preserve">3. von Gebietskörperschaften oder sonstigen Trägern der öffentlichen Verwaltung, z. B. Sozialversicherung, Bahn, Post, der 1,3fache vor der Schädigung zuletzt festgestellte Einheitswert von Grundstücken, die wegen der Zugehörigkeit zu deren Verwaltungsvermögen nach Artikel 21 des Einigungsvertrages nach den §§ 4 und 5 des Vermögensgesetzes nicht restituierbar sind oder die wegen der Wahl von Entschädigung nicht restituiert werden;</w:t>
      </w:r>
    </w:p>
    <w:p>
      <w:pPr>
        <w:ind w:left="420"/>
      </w:pPr>
      <w:r>
        <w:t xml:space="preserve">4. das nach § 19 Abs. 2 des Westvermögen-Abwicklungsgesetzes vom Präsidenten des Bundesausgleichsamtes treuhänderisch verwaltete Vermögen von ehemaligen öffentlich-rechtlichen Kreditinstituten mit Sitz im Beitrittsgebiet;</w:t>
      </w:r>
    </w:p>
    <w:p>
      <w:pPr>
        <w:ind w:left="420"/>
      </w:pPr>
      <w:r>
        <w:t xml:space="preserve">5. nicht anderweitig zuzuordnende Vermögenswerte aus dem Bereich des früheren Amtes für den Rechtsschutz des Vermögens der Deutschen Demokratischen Republik und Überweisungen der Hinterlegungsstellen nach § 4 Abs. 2 des Schuldbuchbereinigungsgesetzes;</w:t>
      </w:r>
    </w:p>
    <w:p>
      <w:pPr>
        <w:ind w:left="420"/>
      </w:pPr>
      <w:r>
        <w:t xml:space="preserve">6. Wertausgleich nach § 7 des Vermögensgesetzes und herauszugebende Gegenleistungen oder Entschädigungen nach § 7a Abs. 2 Satz 4 des Vermögensgesetzes;</w:t>
      </w:r>
    </w:p>
    <w:p>
      <w:pPr>
        <w:ind w:left="420"/>
      </w:pPr>
      <w:r>
        <w:t xml:space="preserve">7. Veräußerungserlöse nach § 11 Abs. 4 des Vermögensgesetzes und sonstige nicht beanspruchte Vermögenswerte, die bis zum 31. Dezember 1992 unter staatlicher Verwaltung standen, wenn der Eigentümer oder Inhaber sich nicht nach öffentlichem Aufgebot gemäß § 15 des Grundbuchbereinigungsgesetzes gemeldet hat. Nicht beanspruchte Vermögenswerte im Sinne des Satzes 1 sind auch die den nicht bekannten oder nicht auffindbaren Miteigentümern oder Miterben zustehenden Rechte. Die §§ 1936, 1964 und 1965 des Bürgerlichen Gesetzbuchs und § 369 des Zivilgesetzbuchs der Deutschen Demokratischen Republik vom 19. Juni 1975 (GBl. I Nr. 27 S. 465) finden keine Anwendung. Ein Aufgebotsverfahren ist nicht erforderlich, wenn der Veräußerungserlös oder der Wert des sonstigen nicht beanspruchten Vermögens den Betrag von 1.000 Deutsche Mark nicht erreicht;</w:t>
      </w:r>
    </w:p>
    <w:p>
      <w:pPr>
        <w:ind w:left="420"/>
      </w:pPr>
      <w:r>
        <w:t xml:space="preserve">8. Regreßforderungen gegenüber staatlichen Verwaltern nach § 13 Abs. 3 des Vermögensgesetzes;</w:t>
      </w:r>
    </w:p>
    <w:p>
      <w:pPr>
        <w:ind w:left="420"/>
      </w:pPr>
      <w:r>
        <w:t xml:space="preserve">9. Forderungen nach § 18b Abs. 1 des Vermögensgesetzes sowie diejenigen Erlösanteile aus Veräußerungen nach § 16 Abs. 1 des Investitionsvorranggesetzes, die nicht dem Berechtigten, dem Verfügungsberechtigten oder einem privaten Dritten zustehen;</w:t>
      </w:r>
    </w:p>
    <w:p>
      <w:pPr>
        <w:ind w:left="420"/>
      </w:pPr>
      <w:r>
        <w:t xml:space="preserve">10. ab 1. Januar 1994 vereinnahmte Rückflüsse nach § 349 des Lastenausgleichsgesetzes;</w:t>
      </w:r>
    </w:p>
    <w:p>
      <w:pPr>
        <w:ind w:left="420"/>
      </w:pPr>
      <w:r>
        <w:t xml:space="preserve">11. Veräußerungserlöse aus dem Verkauf von ehemals volkseigenem Grund und Boden nach dem 27. Juli 1990 an die Inhaber dinglicher Nutzungsrechte für Eigenheime und Entgelte für die Nutzung ehemals volkseigenen Grund und Bodens durch die Inhaber dinglicher Nutzungsrechte für Eigenheime, wenn die Rückübertragung nach § 4 des Vermögensgesetzes ausgeschlossen oder wegen der Wahl von Entschädigung entfallen ist. Für Veräußerungen, die nach dem 17. Dezember 2003 beurkundet wurden, mindestens der im Zeitpunkt des Verkaufs geltende Kaufpreis gemäß § 68 des Sachenrechtsbereinigungsgesetzes;</w:t>
      </w:r>
    </w:p>
    <w:p>
      <w:pPr>
        <w:ind w:left="420"/>
      </w:pPr>
      <w:r>
        <w:t xml:space="preserve">12. Vermögenswerte, die nach § 1b des Vermögenszuordnungsgesetzes in der Fassung des Artikels 16 Nr. 4 des Registerverfahrensbeschleunigungsgesetzes dem Entschädigungsfonds zugeordnet werden;</w:t>
      </w:r>
    </w:p>
    <w:p>
      <w:pPr>
        <w:ind w:left="420"/>
      </w:pPr>
      <w:r>
        <w:t xml:space="preserve">13. Zuschüsse aus dem Bundeshaushalt ab 1. Januar 2004.</w:t>
      </w:r>
    </w:p>
    <w:p>
      <w:r>
        <w:t xml:space="preserve">Ein Anspruch der Berechtigten gegen den Entschädigungsfonds auf Einforderung seiner Einnahmen besteht nicht.</w:t>
      </w:r>
    </w:p>
    <w:p>
      <w:r>
        <w:t xml:space="preserve">(2) Zur Überbrückung etwaiger Liquiditätsengpässe können aus dem Bundeshaushalt zinslose Liquiditätsdarlehen nach Maßgabe des jeweiligen Haushaltsplans geleistet werden. Die Rückzahlung an den Bund erfolgt bei Einnahmeüberschüssen. Einzelheiten regelt das Bundesministerium der Finanzen.</w:t>
      </w:r>
    </w:p>
    <w:p>
      <w:r>
        <w:rPr>
          <w:color w:val="555555"/>
          <w:sz w:val="17"/>
        </w:rPr>
        <w:t xml:space="preserve">Zitiervorschlag: § 10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