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EntschG — Grundsätze der Entschädigung</w:t>
      </w:r>
    </w:p>
    <w:p>
      <w:r>
        <w:rPr>
          <w:color w:val="555555"/>
          <w:sz w:val="18"/>
        </w:rPr>
        <w:t xml:space="preserve">Entschädigungsgesetz</w:t>
      </w:r>
    </w:p>
    <w:p>
      <w:r>
        <w:rPr>
          <w:color w:val="555555"/>
          <w:sz w:val="18"/>
        </w:rPr>
        <w:t xml:space="preserve">Stand: 10.06.2019 (konsolidierte Textfassung, kein amtliches Inkrafttretensdatum)</w:t>
      </w:r>
    </w:p>
    <w:p>
      <w:r>
        <w:t xml:space="preserve">(1) Ist Rückgabe nach dem Gesetz zur Regelung offener Vermögensfragen (Vermögensgesetz) ausgeschlossen (§ 4 Abs. 1 und 2, § 6 Abs. 1 Satz 1 und § 11 Abs. 5 des Vermögensgesetzes) oder hat der Berechtigte Entschädigung gewählt (§ 6 Abs. 7, § 8 Abs. 1 und § 11 Abs. 1 Satz 2 des Vermögensgesetzes), besteht ein Anspruch auf Entschädigung. Der Entschädigungsanspruch wird durch Zuteilung von übertragbaren Schuldverschreibungen des Entschädigungsfonds (§ 9) erfüllt, die ab 1. Januar 2004 mit sechs vom Hundert jährlich verzinst werden. Die Zinsen sind jährlich nachträglich fällig, erstmals am 1. Januar 2005. Die Schuldverschreibungen werden vom Jahr 2004 an in fünf gleichen Jahresraten durch Auslosung - erstmals zum 1. Januar 2004 - getilgt. Nach dem 31. Dezember 2003 festgesetzte Entschädigungsansprüche werden durch Geldleistung erfüllt, die ab dem 1. Januar 2004 bis zum Kalendermonat vor der Bekanntgabe des Bescheides verzinst wird. Der Zinssatz beträgt vom 1. Januar 2004 monatlich 1/2 vom Hundert. Die Zinsen werden mit der Entschädigung und bei Abzug des Lastenausgleichs durch Bescheid nach § 8 Absatz 4 festgesetzt. Ansprüche auf Herausgabe einer Gegenleistung nach § 7a Abs. 1 des Vermögensgesetzes und Schadensersatz nach § 13 des Vermögensgesetzes sowie Ansprüche auf Wertminderungen nach § 7 des Vermögensgesetzes in der bis zum 22. Juli 1992 geltenden Fassung werden nach Bestandskraft des Bescheides durch Geldleistung erfüllt. § 3 des Ausgleichsleistungsgesetzes gilt entsprechend.</w:t>
      </w:r>
    </w:p>
    <w:p>
      <w:r>
        <w:t xml:space="preserve">(1a) Ein Anspruch auf Entschädigung besteht im Fall der Einziehung von im Beitrittsgebiet belegenen Vermögenswerten durch Entscheidung eines ausländischen Gerichts auch, wenn hinsichtlich der mit der Entscheidung verbundenen Freiheitsentziehung eine Bescheinigung nach § 10 Abs. 4 des Häftlingshilfegesetzes erteilt worden ist.</w:t>
      </w:r>
    </w:p>
    <w:p>
      <w:r>
        <w:t xml:space="preserve">(2) Absatz 1 gilt auch, wenn der nach § 3 Abs. 2 des Vermögensgesetzes von der Rückübertragung Ausgeschlossene den Vermögenswert in redlicher Weise erworben hatte. Absatz 1 gilt ferner für Begünstigte (§ 18b Abs. 1 Satz 1 des Vermögensgesetzes) früherer dinglicher Rechte an Grundstücken, die mangels Rückgabe des früher belasteten Vermögenswertes oder wegen Rückgabe nach § 6 des Vermögensgesetzes nicht wieder begründet und nicht abgelöst werden. Ist eine Forderung des Begünstigten, die der früheren dinglichen Sicherung zugrunde lag, vor der bestandskräftigen Entscheidung über den Entschädigungsanspruch erfüllt worden, entfällt der Anspruch auf Entschädigung. Mit der bestandskräftigen Entscheidung über den Entschädigungsanspruch erlischt die Forderung.</w:t>
      </w:r>
    </w:p>
    <w:p>
      <w:r>
        <w:t xml:space="preserve">(3) Für Grundstücke im Sinne des § 1 Abs. 2 des Vermögensgesetzes, die durch Eigentumsverzicht, Schenkung oder Erbausschlagung in Volkseigentum übernommen wurden, wird keine Entschädigung gewährt.</w:t>
      </w:r>
    </w:p>
    <w:p>
      <w:r>
        <w:t xml:space="preserve">(4) Eine Entschädigung wird nicht gewährt</w:t>
      </w:r>
    </w:p>
    <w:p>
      <w:pPr>
        <w:ind w:left="420"/>
      </w:pPr>
      <w:r>
        <w:t xml:space="preserve">1. für private geldwerte Ansprüche im Sinne des § 5, bei denen der Schadensbetrag nach § 245 des Lastenausgleichsgesetzes insgesamt 10.000 Reichsmark nicht übersteigt und für die den Berechtigten oder seinem Gesamtrechtsvorgänger Ausgleichsleistungen nach dem Lastenausgleichsgesetz gewährt wurden. Dies gilt nicht, wenn im Schadensbetrag auch andere Vermögensverluste berücksichtigt sind. Die Rückforderung des Lastenausgleichs nach § 349 des Lastenausgleichsgesetzes entfällt;</w:t>
      </w:r>
    </w:p>
    <w:p>
      <w:pPr>
        <w:ind w:left="420"/>
      </w:pPr>
      <w:r>
        <w:t xml:space="preserve">2. für Vermögensverluste, bei denen die Summe der Bemessungsgrundlagen insgesamt 1.000 Deutsche Mark nicht erreicht, ausgenommen buchmäßig nachgewiesene Geldbeträge;</w:t>
      </w:r>
    </w:p>
    <w:p>
      <w:pPr>
        <w:ind w:left="420"/>
      </w:pPr>
      <w:r>
        <w:t xml:space="preserve">3. für Vermögensverluste, für die der Berechtigte oder sein Gesamtrechtsvorgänger bereits eine Entschädigung nach einem Pauschalentschädigungsabkommen der ehemaligen Deutschen Demokratischen Republik oder der Bundesrepublik Deutschland erhalten hat oder für die ihm eine Entschädigung nach diesen Abkommen zusteht;</w:t>
      </w:r>
    </w:p>
    <w:p>
      <w:pPr>
        <w:ind w:left="420"/>
      </w:pPr>
      <w:r>
        <w:t xml:space="preserve">4. für eine entzogene bewegliche Sache,</w:t>
      </w:r>
    </w:p>
    <w:p>
      <w:pPr>
        <w:ind w:left="780"/>
      </w:pPr>
      <w:r>
        <w:t xml:space="preserve">a) für die dem Berechtigten oder seinem Gesamtrechtsvorgänger der bei ihrer Verwertung erzielte Erlös zugeflossen ist; bei einem Haushaltsgegenstand erstreckt sich der Ausschluss auf den Hausrat, dem er zugehört hat, sofern der Erlös aus der Verwertung die Höhe der Bemessungsgrundlage für Hausrat erreicht;</w:t>
      </w:r>
    </w:p>
    <w:p>
      <w:pPr>
        <w:ind w:left="780"/>
      </w:pPr>
      <w:r>
        <w:t xml:space="preserve">b) die zu einem Unternehmen gehört hat, das zu entschädigen ist;</w:t>
      </w:r>
    </w:p>
    <w:p>
      <w:pPr>
        <w:ind w:left="780"/>
      </w:pPr>
      <w:r>
        <w:t xml:space="preserve">c) für die ein Vernichtungsprotokoll oder ein vergleichbarer Nachweis des Untergangs vorhanden ist, außer wenn bei Würdigung aller Umstände ungeachtet des Vernichtungsnachweises überwiegende Gründe für die Werthaltigkeit der vernichteten Sache sprechen;</w:t>
      </w:r>
    </w:p>
    <w:p>
      <w:pPr>
        <w:ind w:left="420"/>
      </w:pPr>
      <w:r>
        <w:t xml:space="preserve">5. für Hausrat, für die dem Berechtigen oder seinem Gesamtrechtsvorgänger Leistungen nach lastenausgleichsrechtlichen Vorschriften gewährt wurden.</w:t>
      </w:r>
    </w:p>
    <w:p>
      <w:r>
        <w:t xml:space="preserve">(5) In den Fällen des § 1 Abs. 6 des Vermögensgesetzes besteht ein Entschädigungsanspruch nach Maßgabe des NS-Verfolgtenentschädigungsgesetzes. -----</w:t>
      </w:r>
    </w:p>
    <w:p>
      <w:pPr>
        <w:ind w:left="420"/>
      </w:pPr>
      <w:r>
        <w:t xml:space="preserve">*) § 1 Abs. 3 ist gemäß des Beschlusses des Bundesverfassungsgerichtes vom 10. Oktober 2001 - 1 BvL 17/00 - (BGBl. I S. 3920) mit Artikel 3 Abs. 1 des Grundgesetzes unvereinbar und nichtig.</w:t>
      </w:r>
    </w:p>
    <w:p>
      <w:r>
        <w:rPr>
          <w:color w:val="555555"/>
          <w:sz w:val="17"/>
        </w:rPr>
        <w:t xml:space="preserve">Zitiervorschlag: § 1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