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EntschFinV — Risikokategorien, Risikoindikatoren und Risikogewichtung</w:t>
      </w:r>
    </w:p>
    <w:p>
      <w:r>
        <w:rPr>
          <w:color w:val="555555"/>
          <w:sz w:val="18"/>
        </w:rPr>
        <w:t xml:space="preserve">Entschädigungseinrichtungs-Finanzierungsverordnung</w:t>
      </w:r>
    </w:p>
    <w:p>
      <w:r>
        <w:rPr>
          <w:color w:val="555555"/>
          <w:sz w:val="18"/>
        </w:rPr>
        <w:t xml:space="preserve">Stand: 01.06.2022 (konsolidierte Textfassung, kein amtliches Inkrafttretensdatum)</w:t>
      </w:r>
    </w:p>
    <w:p>
      <w:r>
        <w:t xml:space="preserve">(1) Für die Einschätzung des Risikos des CRR-Kreditinstituts legt die Entschädigungseinrichtung die folgenden Risikokategorien zugrunde:</w:t>
      </w:r>
    </w:p>
    <w:p>
      <w:pPr>
        <w:ind w:left="420"/>
      </w:pPr>
      <w:r>
        <w:t xml:space="preserve">1. Kapital,</w:t>
      </w:r>
    </w:p>
    <w:p>
      <w:pPr>
        <w:ind w:left="420"/>
      </w:pPr>
      <w:r>
        <w:t xml:space="preserve">2. Liquidität und Refinanzierung,</w:t>
      </w:r>
    </w:p>
    <w:p>
      <w:pPr>
        <w:ind w:left="420"/>
      </w:pPr>
      <w:r>
        <w:t xml:space="preserve">3. Qualität der Vermögensanlage,</w:t>
      </w:r>
    </w:p>
    <w:p>
      <w:pPr>
        <w:ind w:left="420"/>
      </w:pPr>
      <w:r>
        <w:t xml:space="preserve">4. Geschäftsmodell und Management sowie</w:t>
      </w:r>
    </w:p>
    <w:p>
      <w:pPr>
        <w:ind w:left="420"/>
      </w:pPr>
      <w:r>
        <w:t xml:space="preserve">5. Verlustrisiko der Entschädigungseinrichtung.</w:t>
      </w:r>
    </w:p>
    <w:p>
      <w:r>
        <w:t xml:space="preserve">Den Risikokategorien sind jeweils Risikoindikatoren gemäß Anlage 1 zugeordnet.</w:t>
      </w:r>
    </w:p>
    <w:p>
      <w:r>
        <w:t xml:space="preserve">(2) Die Gewichtung der Risikokategorien und Risikoindikatoren und die Ermittlung der Bonitätsnote erfolgt nach Maßgabe von Anlage 1.</w:t>
      </w:r>
    </w:p>
    <w:p>
      <w:r>
        <w:t xml:space="preserve">(3) Das Nähere zur Risikoeinschätzung für die Risikokategorien nach Absatz 1 bestimmt sich nach Anlage 1. Die Risikoeinschätzung für die Risikokategorie nach Absatz 1 Nummer 4 erfolgt auch auf der Grundlage von Ratings nach § 10.</w:t>
      </w:r>
    </w:p>
    <w:p>
      <w:r>
        <w:rPr>
          <w:color w:val="555555"/>
          <w:sz w:val="17"/>
        </w:rPr>
        <w:t xml:space="preserve">Zitiervorschlag: § 9 EntschFinV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https://recht.nulegal.eu/gesetze/EntschFinV/9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