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EntschFinV — Beitragsbemessung und Zuschlag für Verwaltungskosten</w:t>
      </w:r>
    </w:p>
    <w:p>
      <w:r>
        <w:rPr>
          <w:color w:val="555555"/>
          <w:sz w:val="18"/>
        </w:rPr>
        <w:t xml:space="preserve">Entschädigungseinrichtungs-Finanzierungsverordnung</w:t>
      </w:r>
    </w:p>
    <w:p>
      <w:r>
        <w:rPr>
          <w:color w:val="555555"/>
          <w:sz w:val="18"/>
        </w:rPr>
        <w:t xml:space="preserve">Stand: 01.06.2022 (konsolidierte Textfassung, kein amtliches Inkrafttretensdatum)</w:t>
      </w:r>
    </w:p>
    <w:p>
      <w:r>
        <w:t xml:space="preserve">(1) Der Jahresbeitrag eines CRR-Kreditinstituts ist nach § 7 so zu bemessen, dass mit der Summe aller Jahresbeiträge mindestens die Jahreszielausstattung nach § 6 erreicht wird.</w:t>
      </w:r>
    </w:p>
    <w:p>
      <w:r>
        <w:t xml:space="preserve">(2) Der Jahresbeitrag beträgt mindestens 20 000 Euro.</w:t>
      </w:r>
    </w:p>
    <w:p>
      <w:r>
        <w:t xml:space="preserve">(3) Zusätzlich zum Jahresbeitrag kann zur Deckung der Verwaltungskosten und sonstiger Kosten, die bei der Entschädigungseinrichtung im Rahmen ihrer Tätigkeit entstehen, ein pauschalierter Kostenzuschlag erhoben werden. Der Kostenzuschlag wird mit dem jeweiligen Jahresbeitrag im Beitragsbescheid festgesetzt und getrennt ausgewiesen. Die Höhe des Kostenzuschlags wird nach folgender Formel berechnet:</w:t>
      </w:r>
    </w:p>
    <w:p>
      <w:r>
        <w:rPr>
          <w:rFonts w:ascii="Courier New" w:hAnsi="Courier New"/>
          <w:sz w:val="17"/>
        </w:rPr>
        <w:t xml:space="preserve">[Abbildung]</w:t>
      </w:r>
    </w:p>
    <w:p>
      <w:r>
        <w:rPr>
          <w:rFonts w:ascii="Courier New" w:hAnsi="Courier New"/>
          <w:sz w:val="17"/>
        </w:rPr>
        <w:t xml:space="preserve">Dabei ist:</w:t>
      </w:r>
    </w:p>
    <w:p>
      <w:r>
        <w:rPr>
          <w:rFonts w:ascii="Courier New" w:hAnsi="Courier New"/>
          <w:sz w:val="17"/>
        </w:rPr>
        <w:t xml:space="preserve">Ki =    Kostenzuschlag des CRR-Kreditinstituts;</w:t>
      </w:r>
    </w:p>
    <w:p>
      <w:r>
        <w:rPr>
          <w:rFonts w:ascii="Courier New" w:hAnsi="Courier New"/>
          <w:sz w:val="17"/>
        </w:rPr>
        <w:t xml:space="preserve">B =    Gesamtbedarf an zu erhebenden Kostenzuschlägen;</w:t>
      </w:r>
    </w:p>
    <w:p>
      <w:r>
        <w:rPr>
          <w:rFonts w:ascii="Courier New" w:hAnsi="Courier New"/>
          <w:sz w:val="17"/>
        </w:rPr>
        <w:t xml:space="preserve">A =    Anzahl der beitragspflichtigen CRR-Kreditinstitute, die der Entschädigungseinrichtung zugeordnet sind;</w:t>
      </w:r>
    </w:p>
    <w:p>
      <w:r>
        <w:rPr>
          <w:rFonts w:ascii="Courier New" w:hAnsi="Courier New"/>
          <w:sz w:val="17"/>
        </w:rPr>
        <w:t xml:space="preserve">CDi =    gedeckte Einlagen des CRR-Kreditinstituts nach § 7 Absatz 4;</w:t>
      </w:r>
    </w:p>
    <w:p>
      <w:r>
        <w:rPr>
          <w:rFonts w:ascii="Courier New" w:hAnsi="Courier New"/>
          <w:sz w:val="17"/>
        </w:rPr>
        <w:t xml:space="preserve">S =    Summe der gedeckten Einlagen aller CRR-Kreditinstitute, die der Entschädigungseinrichtung zugeordnet sind, zum Stand vom 31. Dezember des Vorjahres.</w:t>
      </w:r>
    </w:p>
    <w:p>
      <w:r>
        <w:rPr>
          <w:rFonts w:ascii="Courier New" w:hAnsi="Courier New"/>
          <w:sz w:val="17"/>
        </w:rPr>
        <w:t xml:space="preserve">Die Entschädigungseinrichtung kann einen Kostenzuschlag auch für solche Abrechnungsjahre erheben, in denen kein Jahresbeitrag erhoben wird.</w:t>
      </w:r>
    </w:p>
    <w:p>
      <w:r>
        <w:rPr>
          <w:color w:val="555555"/>
          <w:sz w:val="17"/>
        </w:rPr>
        <w:t xml:space="preserve">Zitiervorschlag: § 5 EntschFinV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https://recht.nulegal.eu/gesetze/EntschFinV/5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