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35 EntschFinV — Inkrafttreten, Außerkrafttreten</w:t>
      </w:r>
    </w:p>
    <w:p>
      <w:r>
        <w:rPr>
          <w:color w:val="555555"/>
          <w:sz w:val="18"/>
        </w:rPr>
        <w:t xml:space="preserve">Entschädigungseinrichtungs-Finanzierungsverordnung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Tag nach der Verkündung in Kraft. Gleichzeitig treten die EdB-Beitragsverordnung vom 10. Juli 1999 (BGBl. I S. 1540), die zuletzt durch Artikel 5 der Verordnung vom 30. Januar 2014 (BGBl. I S. 322) geändert worden ist, und die EdVÖB-Beitragsverordnung vom 10. Juli 1999 (BGBl. I S. 1538), die zuletzt durch Artikel 4 der Verordnung vom 30. Januar 2014 (BGBl. I S. 322) geändert worden ist, außer Kraft.</w:t>
      </w:r>
    </w:p>
    <w:p>
      <w:r>
        <w:rPr>
          <w:color w:val="555555"/>
          <w:sz w:val="17"/>
        </w:rPr>
        <w:t xml:space="preserve">Zitiervorschlag: § 35 EntschFinV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https://recht.nulegal.eu/gesetze/EntschFinV/35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