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EntschFinV — Verwertung und Freigabe von Finanzsicherheiten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Liegen die Voraussetzungen für eine Verwertung der Finanzsicherheiten nach § 27 Absatz 3 Nummer 8 vor, so veräußert die Entschädigungseinrichtung die Finanzsicherheit im Einklang mit dem Rahmenvertrag oder eignet sich diese an.</w:t>
      </w:r>
    </w:p>
    <w:p>
      <w:r>
        <w:t xml:space="preserve">(2) Erfüllt ein CRR-Kreditinstitut eine Zahlungsverpflichtung nach § 23, so hebt die Entschädigungseinrichtung das Pfandrecht an den Finanzsicherheiten auf oder überträgt die Finanzsicherheiten an das CRR-Kreditinstitut zurück, soweit die Finanzsicherheiten nicht zur Besicherung fortbestehender Zahlungsverpflichtungen erforderlich sind.</w:t>
      </w:r>
    </w:p>
    <w:p>
      <w:r>
        <w:rPr>
          <w:color w:val="555555"/>
          <w:sz w:val="17"/>
        </w:rPr>
        <w:t xml:space="preserve">Zitiervorschlag: § 33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