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EntschFinV — Zuordnung zu einer anderen Entschädigungseinrichtung, Ausscheiden aus der Entschädigungseinrichtung</w:t>
      </w:r>
    </w:p>
    <w:p>
      <w:r>
        <w:rPr>
          <w:color w:val="555555"/>
          <w:sz w:val="18"/>
        </w:rPr>
        <w:t xml:space="preserve">Entschädigungseinrichtungs-Finanzierungsverordnung</w:t>
      </w:r>
    </w:p>
    <w:p>
      <w:r>
        <w:rPr>
          <w:color w:val="555555"/>
          <w:sz w:val="18"/>
        </w:rPr>
        <w:t xml:space="preserve">Stand: 01.06.2022 (konsolidierte Textfassung, kein amtliches Inkrafttretensdatum)</w:t>
      </w:r>
    </w:p>
    <w:p>
      <w:r>
        <w:t xml:space="preserve">(1) Wechselt ein CRR-Kreditinstitut nach § 24 Absatz 4 oder 5 des Einlagensicherungsgesetzes die Entschädigungseinrichtung und werden Beiträge nach § 25 Absatz 2 des Einlagensicherungsgesetzes übertragen, so kann die bisherige Entschädigungseinrichtung</w:t>
      </w:r>
    </w:p>
    <w:p>
      <w:pPr>
        <w:ind w:left="420"/>
      </w:pPr>
      <w:r>
        <w:t xml:space="preserve">1. die auf Zahlungsverpflichtungen bezogenen Finanzsicherheiten verwerten und den Verwertungserlös auf die andere Entschädigungseinrichtung übertragen oder</w:t>
      </w:r>
    </w:p>
    <w:p>
      <w:pPr>
        <w:ind w:left="420"/>
      </w:pPr>
      <w:r>
        <w:t xml:space="preserve">2. mit dem CRR-Kreditinstitut und der anderen Entschädigungseinrichtung die Übernahme der Zahlungsverpflichtungen und der diesbezüglichen Finanzsicherheiten vereinbaren.</w:t>
      </w:r>
    </w:p>
    <w:p>
      <w:r>
        <w:t xml:space="preserve">(2) Beruht der Wechsel der Entschädigungseinrichtung auf einer Abwicklungsmaßnahme im Sinne des § 2 Absatz 3 Nummer 5 des Sanierungs- und Abwicklungsgesetzes, setzt sich die bisherige Entschädigungseinrichtung vor ihrer Entscheidung über den Umgang mit den Zahlungsverpflichtungen nach Absatz 1 mit der Abwicklungsbehörde ins Benehmen. Die Entscheidung der bisherigen Entschädigungseinrichtung hat den Abwicklungszielen nach § 67 des Sanierungs- und Abwicklungsgesetzes einschließlich des Schutzes der Einleger Rechnung zu tragen.</w:t>
      </w:r>
    </w:p>
    <w:p>
      <w:r>
        <w:t xml:space="preserve">(3) Scheidet ein CRR-Kreditinstitut aus der Entschädigungseinrichtung aus, stellt die Entschädigungseinrichtung die Verfügbarkeit der von dem CRR-Kreditinstitut übernommenen Zahlungsverpflichtungen sicher, soweit diese nicht nach Absatz 1 Nummer 2 von einer anderen Entschädigungseinrichtung übernommen werden. Hierzu kann die Entschädigungseinrichtung</w:t>
      </w:r>
    </w:p>
    <w:p>
      <w:pPr>
        <w:ind w:left="420"/>
      </w:pPr>
      <w:r>
        <w:t xml:space="preserve">1. die Zahlungsverpflichtungen des CRR-Kreditinstituts fällig stellen,</w:t>
      </w:r>
    </w:p>
    <w:p>
      <w:pPr>
        <w:ind w:left="420"/>
      </w:pPr>
      <w:r>
        <w:t xml:space="preserve">2. erlauben, dass die durch das CRR-Kreditinstitut übernommenen Zahlungsverpflichtungen trotz der Beendigung fortbestehen und diese zu einem von der Entschädigungseinrichtung bestimmten Fälligkeitszeitpunkt erfüllt werden müssen, oder</w:t>
      </w:r>
    </w:p>
    <w:p>
      <w:pPr>
        <w:ind w:left="420"/>
      </w:pPr>
      <w:r>
        <w:t xml:space="preserve">3. einer Übertragung der Zahlungsverpflichtungen auf einen Rechtsnachfolger nach § 24 zustimmen.</w:t>
      </w:r>
    </w:p>
    <w:p>
      <w:r>
        <w:t xml:space="preserve">Die Entschädigungseinrichtung soll bei der Entscheidung nach Satz 2 diejenige Maßnahme wählen, die das CRR-Kreditinstitut am geringsten belastet.</w:t>
      </w:r>
    </w:p>
    <w:p>
      <w:r>
        <w:t xml:space="preserve">(4) Die Absätze 1 bis 3 sind nicht anwendbar auf einen Übergang eines CRR-Kreditinstituts infolge einer Rechtsnachfolge der nachfolgenden Entschädigungseinrichtung nach § 25a Absatz 3 des Einlagensicherungsgesetzes oder den Beitritt zu einem anerkannten Sicherungssystem nach § 25a Absatz 4 des Einlagensicherungsgesetzes.</w:t>
      </w:r>
    </w:p>
    <w:p>
      <w:r>
        <w:rPr>
          <w:color w:val="555555"/>
          <w:sz w:val="17"/>
        </w:rPr>
        <w:t xml:space="preserve">Zitiervorschlag: § 32 EntschFinV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https://recht.nulegal.eu/gesetze/EntschFinV/32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