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EntschFinV — Anzeige- und Informationspflichten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CRR-Kreditinstitut, das eine Zahlungsverpflichtung nach § 19 übernommen hat, ist verpflichtet, der Entschädigungseinrichtung unverzüglich alle Umstände anzuzeigen, die die Fähigkeit des CRR-Kreditinstituts beeinträchtigen könnten, der Zahlungsverpflichtung oder dem Rahmenvertrag über Finanzsicherheiten nachzukommen.</w:t>
      </w:r>
    </w:p>
    <w:p>
      <w:r>
        <w:t xml:space="preserve">(2) Anzeigepflichtig sind insbesondere</w:t>
      </w:r>
    </w:p>
    <w:p>
      <w:pPr>
        <w:ind w:left="420"/>
      </w:pPr>
      <w:r>
        <w:t xml:space="preserve">1. Herabstufungen des CRR-Kreditinstituts durch externe Ratingagenturen in beauftragten Ratings,</w:t>
      </w:r>
    </w:p>
    <w:p>
      <w:pPr>
        <w:ind w:left="420"/>
      </w:pPr>
      <w:r>
        <w:t xml:space="preserve">2. wesentliche aufsichtsrechtliche oder geschäftliche Veränderungen und</w:t>
      </w:r>
    </w:p>
    <w:p>
      <w:pPr>
        <w:ind w:left="420"/>
      </w:pPr>
      <w:r>
        <w:t xml:space="preserve">3. Verschlechterungen der als Finanzsicherheiten überlassenen risikoarmen Schuldtitel.</w:t>
      </w:r>
    </w:p>
    <w:p>
      <w:r>
        <w:t xml:space="preserve">(3) Die Entschädigungseinrichtung kann den CRR-Kreditinstituten im Rahmenvertrag weitere Anzeige- oder Informationspflichten in Bezug auf die gestellten Finanzsicherheiten auferlegen.</w:t>
      </w:r>
    </w:p>
    <w:p>
      <w:r>
        <w:rPr>
          <w:color w:val="555555"/>
          <w:sz w:val="17"/>
        </w:rPr>
        <w:t xml:space="preserve">Zitiervorschlag: § 31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