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EntschFinV — Verwaltung von Finanzsicherheiten</w:t>
      </w:r>
    </w:p>
    <w:p>
      <w:r>
        <w:rPr>
          <w:color w:val="555555"/>
          <w:sz w:val="18"/>
        </w:rPr>
        <w:t xml:space="preserve">Entschädigungseinrichtungs-Finanzierungsverordnung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Entschädigungseinrichtung kann einen Dritten mit der Verwaltung der Finanzsicherheiten beauftragen. Hierzu ist eine Vereinbarung zwischen der Entschädigungseinrichtung, dem CRR-Kreditinstitut und dem Sicherheitenverwalter abzuschließen.</w:t>
      </w:r>
    </w:p>
    <w:p>
      <w:r>
        <w:t xml:space="preserve">(2) Die Kosten der Sicherheitenverwaltung sind von den CRR-Kreditinstituten zu tragen. Erfolgt die Sicherheitenverwaltung durch einen Dritten, ist die Kostentragungspflicht der CRR-Kreditinstitute in der Vereinbarung zu regeln.</w:t>
      </w:r>
    </w:p>
    <w:p>
      <w:r>
        <w:rPr>
          <w:color w:val="555555"/>
          <w:sz w:val="17"/>
        </w:rPr>
        <w:t xml:space="preserve">Zitiervorschlag: § 29 EntschFinV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https://recht.nulegal.eu/gesetze/EntschFinV/29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