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EntschFinV — Zulässige Finanzsicherheiten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Entschädigungseinrichtung kann die als Finanzsicherheiten zulässigen risikoarmen Schuldtitel oder Barsicherheiten einschränken oder konkretisieren. Dabei berücksichtigt sie Kredit- und Marktrisiken der Emittenten, die Liquidität der entsprechenden Instrumente und Konzentrations- und Währungsrisiken. Die Entschädigungseinrichtung veröffentlicht die zulässigen risikoarmen Schuldtitel oder Barsicherheiten auf ihrer Internetseite.</w:t>
      </w:r>
    </w:p>
    <w:p>
      <w:r>
        <w:t xml:space="preserve">(2) Die Entschädigungseinrichtung trifft geeignete Vorkehrungen, um etwaige Risiken aufgrund eines Unterschieds zwischen den Währungen der gedeckten Einlagen und der von den CRR-Kreditinstituten gestellten Finanzsicherheiten zu begrenzen.</w:t>
      </w:r>
    </w:p>
    <w:p>
      <w:r>
        <w:rPr>
          <w:color w:val="555555"/>
          <w:sz w:val="17"/>
        </w:rPr>
        <w:t xml:space="preserve">Zitiervorschlag: § 28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