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EntschFinV — Rahmenvertrag über Finanzsicherheiten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Grundlage für die Leistung von Finanzsicherheiten im Zusammenhang mit dem Abschluss von Verträgen über die Übernahme von Zahlungsverpflichtungen in einzelnen Abrechnungsjahren nach § 26 ist ein Rahmenvertrag über Finanzsicherheiten. Im Rahmenvertrag sind der Inhalt sowie das Verfahren zur Leistung von Finanzsicherheiten abschließend zu regeln. Der Rahmenvertrag ist von den gesetzlichen Vertretern des CRR-Kreditinstituts zu unterzeichnen. Das CRR-Kreditinstitut hat der Entschädigungseinrichtung die Vertretungsbefugnis in geeigneter Weise nachzuweisen.</w:t>
      </w:r>
    </w:p>
    <w:p>
      <w:r>
        <w:t xml:space="preserve">(2) Die Entschädigungseinrichtung verwendet für die Leistung von Finanzsicherheiten durch Vollrechtsübertragung und durch Verpfändung jeweils unterschiedliche Rahmenverträge mit jeweils einheitlichem Vertragsmuster. Die Vertragsmuster sind der Bundesanstalt anzuzeigen.</w:t>
      </w:r>
    </w:p>
    <w:p>
      <w:r>
        <w:t xml:space="preserve">(3) Der Rahmenvertrag über Finanzsicherheiten muss insbesondere regeln,</w:t>
      </w:r>
    </w:p>
    <w:p>
      <w:pPr>
        <w:ind w:left="420"/>
      </w:pPr>
      <w:r>
        <w:t xml:space="preserve">1. welche risikoarmen Schuldtitel oder Barsicherheiten Gegenstand der Finanzsicherheiten sein dürfen;</w:t>
      </w:r>
    </w:p>
    <w:p>
      <w:pPr>
        <w:ind w:left="420"/>
      </w:pPr>
      <w:r>
        <w:t xml:space="preserve">2. dass der Anrechnungswert der Finanzsicherheit fortwährend insgesamt mindestens der Summe aller von einem CRR-Kreditinstitut übernommenen Zahlungsverpflichtungen entsprechen muss;</w:t>
      </w:r>
    </w:p>
    <w:p>
      <w:pPr>
        <w:ind w:left="420"/>
      </w:pPr>
      <w:r>
        <w:t xml:space="preserve">3. dass das CRR-Kreditinstitut zusichert, dass als Finanzsicherheit gestellte Vermögenswerte nicht Dritten anderweitig als Sicherheit gestellt oder zur Absicherung anderer Verbindlichkeiten gegenüber der Entschädigungseinrichtung belastet wurden oder werden;</w:t>
      </w:r>
    </w:p>
    <w:p>
      <w:pPr>
        <w:ind w:left="420"/>
      </w:pPr>
      <w:r>
        <w:t xml:space="preserve">4. dass das CRR-Kreditinstitut ab Bestellung nicht länger berechtigt sein soll, über die dieser Finanzsicherheit zugrunde liegenden Vermögenswerte zu verfügen, wenn die Finanzsicherheit in Form eines Pfandrechts geleistet wird;</w:t>
      </w:r>
    </w:p>
    <w:p>
      <w:pPr>
        <w:ind w:left="420"/>
      </w:pPr>
      <w:r>
        <w:t xml:space="preserve">5. dass das CRR-Kreditinstitut berechtigt ist, Finanzsicherheiten unbeschadet der Nummer 7 auszutauschen, soweit die Voraussetzungen der Nummern 1 und 2 fortwährend erfüllt sind;</w:t>
      </w:r>
    </w:p>
    <w:p>
      <w:pPr>
        <w:ind w:left="420"/>
      </w:pPr>
      <w:r>
        <w:t xml:space="preserve">6. dass das CRR-Kreditinstitut, wenn der Anrechnungswert der Summe aller geleisteten Finanzsicherheiten unter die Summe aller von einem CRR-Kreditinstitut übernommenen Zahlungsverpflichtungen (Unterdeckung) fällt, verpflichtet ist, weitere Finanzsicherheiten mit einem Anrechnungswert zu übertragen, der den Betrag der Unterdeckung zumindest erreicht, oder das CRR-Kreditinstitut die Verpflichtung abwenden kann, indem es die Zahlungsverpflichtungen in Höhe der Unterdeckung durch Zahlung an die Entschädigungseinrichtung erfüllt;</w:t>
      </w:r>
    </w:p>
    <w:p>
      <w:pPr>
        <w:ind w:left="420"/>
      </w:pPr>
      <w:r>
        <w:t xml:space="preserve">7. dass das CRR-Kreditinstitut eine Finanzsicherheit durch andere geeignete Finanzsicherheiten ersetzt, sofern diese fällig geworden ist, die Anforderungen nach § 28 Absatz 1 nicht mehr erfüllt oder in anderen Fällen, über die sich das CRR-Kreditinstitut und die Entschädigungseinrichtung verständigt haben;</w:t>
      </w:r>
    </w:p>
    <w:p>
      <w:pPr>
        <w:ind w:left="420"/>
      </w:pPr>
      <w:r>
        <w:t xml:space="preserve">8. dass die Entschädigungseinrichtung die Finanzsicherheiten nach § 33 verwertet, wenn das CRR-Kreditinstitut den unter der Zahlungsverpflichtung geschuldeten Betrag bei Anforderung einer Zahlung nach § 23 nicht, nicht fristgerecht oder nicht vollständig leistet, und</w:t>
      </w:r>
    </w:p>
    <w:p>
      <w:pPr>
        <w:ind w:left="420"/>
      </w:pPr>
      <w:r>
        <w:t xml:space="preserve">9. dass etwaige Erträge aus den Finanzsicherheiten dem CRR-Kreditinstitut zustehen.</w:t>
      </w:r>
    </w:p>
    <w:p>
      <w:r>
        <w:rPr>
          <w:color w:val="555555"/>
          <w:sz w:val="17"/>
        </w:rPr>
        <w:t xml:space="preserve">Zitiervorschlag: § 27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