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EntschFinV — Anforderung und Fälligkeit der Zahlung</w:t>
      </w:r>
    </w:p>
    <w:p>
      <w:r>
        <w:rPr>
          <w:color w:val="555555"/>
          <w:sz w:val="18"/>
        </w:rPr>
        <w:t xml:space="preserve">Entschädigungseinrichtungs-Finanzierungsverordnung</w:t>
      </w:r>
    </w:p>
    <w:p>
      <w:r>
        <w:rPr>
          <w:color w:val="555555"/>
          <w:sz w:val="18"/>
        </w:rPr>
        <w:t xml:space="preserve">Stand: 10.06.2019 (konsolidierte Textfassung, kein amtliches Inkrafttretensdatum)</w:t>
      </w:r>
    </w:p>
    <w:p>
      <w:r>
        <w:t xml:space="preserve">(1) Die Entschädigungseinrichtung fordert die Zahlung aus der Zahlungsverpflichtung ganz oder in Teilbeträgen an, wenn sie die Zahlung zur Entschädigung der Einleger nach den §§ 5 bis 9 des Einlagensicherungsgesetzes oder für die Leistung eines Ausgleichsbetrags gemäß § 145 des Sanierungs- und Abwicklungsgesetzes im Rahmen der Abwicklung eines CRR-Kreditinstituts benötigt. Mit Zugang der Anforderung bei den CRR-Kreditinstituten wird die Zahlung fällig.</w:t>
      </w:r>
    </w:p>
    <w:p>
      <w:r>
        <w:t xml:space="preserve">(2) Die Entschädigungseinrichtung soll die Zahlung von allen CRR-Kreditinstituten, die Zahlungsverpflichtungen übernommen haben, in jeweils anteilig gleicher Höhe anfordern, wenn die Summe aller Zahlungsverpflichtungen 30 Prozent der verfügbaren Finanzmittel übersteigt und der Anteil der Zahlungsverpflichtungen an den verfügbaren Finanzmitteln nicht anderweitig reduziert werden kann.</w:t>
      </w:r>
    </w:p>
    <w:p>
      <w:r>
        <w:t xml:space="preserve">(3) Die Entschädigungseinrichtung soll die Zahlung von einem einzelnen CRR-Kreditinstitut, das eine Zahlungsverpflichtung übernommen hat, anfordern,</w:t>
      </w:r>
    </w:p>
    <w:p>
      <w:pPr>
        <w:ind w:left="420"/>
      </w:pPr>
      <w:r>
        <w:t xml:space="preserve">1. soweit die Summe der Zahlungsverpflichtungen des CRR-Kreditinstituts 30 Prozent des Anteils des CRR-Kreditinstituts an den verfügbaren Finanzmitteln übersteigt und nicht anderweitig reduziert werden kann;</w:t>
      </w:r>
    </w:p>
    <w:p>
      <w:pPr>
        <w:ind w:left="420"/>
      </w:pPr>
      <w:r>
        <w:t xml:space="preserve">2. soweit das CRR-Kreditinstitut weitere Finanzsicherheiten nach § 27 Absatz 3 Nummer 5 nicht, nicht fristgerecht oder nicht vollständig leistet;</w:t>
      </w:r>
    </w:p>
    <w:p>
      <w:pPr>
        <w:ind w:left="420"/>
      </w:pPr>
      <w:r>
        <w:t xml:space="preserve">3. soweit das CRR-Kreditinstitut Finanzsicherheiten nicht, nicht fristgerecht oder nicht vollständig gemäß § 27 Absatz 3 Nummer 6 ersetzt;</w:t>
      </w:r>
    </w:p>
    <w:p>
      <w:pPr>
        <w:ind w:left="420"/>
      </w:pPr>
      <w:r>
        <w:t xml:space="preserve">4. wenn die Erlaubnis des CRR-Kreditinstituts erloschen oder aufgehoben worden ist;</w:t>
      </w:r>
    </w:p>
    <w:p>
      <w:pPr>
        <w:ind w:left="420"/>
      </w:pPr>
      <w:r>
        <w:t xml:space="preserve">5. wenn gegenüber dem CRR-Kreditinstitut Sanierungsmaßnahmen im Sinne des Artikels 2 der Richtlinie 2001/24/EG des Europäischen Parlaments und des Rates vom 4. April 2001 über die Sanierung und Liquidation von Kreditinstituten (ABl. L 125 vom 5.5.2001, S. 15), die durch die Richtlinie 2014/59/EU (ABl. L 173 vom 12.6.2014, S. 190) geändert worden ist, angeordnet werden, nicht aber wenn Frühinterventionsmaßnahmen oder Krisenmanagementmaßnahmen im Sinne der Artikel 27 und 2 Absatz 1 Nummer 102 der Richtlinie 2014/59/EU des Europäischen Parlaments und des Rates vom 15. Mai 2014 zur Festlegung eines Rahmens für die Sanierung und Abwicklung von Kreditinstituten und Wertpapierfirmen und zur Änderung der Richtlinie 82/891/EWG des Rates, der Richtlinien 2001/24/EG, 2002/47/EG, 2004/25/EG, 2005/56/EG, 2007/36/EG, 2011/35/EU, 2012/30/EU und 2013/36/EU sowie der Verordnungen (EU) Nr. 1093/2010 und (EU) Nr. 648/2012 des Europäischen Parlaments und des Rates (ABl. L 173 vom 12.6.2014, S. 190) angeordnet werden;</w:t>
      </w:r>
    </w:p>
    <w:p>
      <w:pPr>
        <w:ind w:left="420"/>
      </w:pPr>
      <w:r>
        <w:t xml:space="preserve">6. wenn über das Vermögen des CRR-Kreditinstituts ein Liquidationsverfahren im Sinne des Artikels 2 der Richtlinie 2001/24/EG nach Maßgabe der jeweils maßgeblichen gesetzlichen Bestimmungen eröffnet wird.</w:t>
      </w:r>
    </w:p>
    <w:p>
      <w:r>
        <w:t xml:space="preserve">(4) Die Anforderung nach den Absätzen 1 bis 3 erfolgt schriftlich, elektronisch oder mündlich unter Benennung des Anlasses für die Anforderung gemäß Absatz 1 Satz 1 gegen Empfangsbestätigung des CRR-Kreditinstituts. Über Satz 1 hinaus ist eine Begründung der Anforderung nicht erforderlich.</w:t>
      </w:r>
    </w:p>
    <w:p>
      <w:r>
        <w:t xml:space="preserve">(5) Soweit ein CRR-Kreditinstitut einen Teil des Jahresbeitrags, der für die Bemessung von Sonderbeiträgen und Sonderzahlungen nach § 27 Absatz 3 Satz 1 des Einlagensicherungsgesetzes maßgeblich ist, durch Übernahme eine Zahlungsverpflichtung erbracht hat, gilt die Zahlungsverpflichtung für die Zwecke der Bemessung der Sonderbeiträge oder der Sonderzahlung als fällig, sobald der nach § 4 Absatz 1 durch Beitragsbescheid festgesetzte Beitragsteil fällig geworden ist. Absatz 1 Satz 2 bleibt unberührt.</w:t>
      </w:r>
    </w:p>
    <w:p>
      <w:r>
        <w:rPr>
          <w:color w:val="555555"/>
          <w:sz w:val="17"/>
        </w:rPr>
        <w:t xml:space="preserve">Zitiervorschlag: § 23 EntschFinV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https://recht.nulegal.eu/gesetze/EntschFinV/23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