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EntschFinV — Verträge über die Übernahme von Zahlungsverpflichtungen</w:t>
      </w:r>
    </w:p>
    <w:p>
      <w:r>
        <w:rPr>
          <w:color w:val="555555"/>
          <w:sz w:val="18"/>
        </w:rPr>
        <w:t xml:space="preserve">Entschädigungseinrichtungs-Finanzierungsverordnung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der Grundlage des Rahmenvertrags sind in den jeweiligen Abrechnungsjahren einzelne Verträge über die Übernahme von Zahlungsverpflichtungen abzuschließen. Diese Verträge müssen insbesondere regeln, dass</w:t>
      </w:r>
    </w:p>
    <w:p>
      <w:pPr>
        <w:ind w:left="420"/>
      </w:pPr>
      <w:r>
        <w:t xml:space="preserve">1. sich die Höhe der Zahlungsverpflichtungen danach richtet, in welcher Höhe die Entschädigungseinrichtung gemäß § 19 die Erbringung von Jahresbeträgen durch Zahlungsverpflichtungen gestattet hat;</w:t>
      </w:r>
    </w:p>
    <w:p>
      <w:pPr>
        <w:ind w:left="420"/>
      </w:pPr>
      <w:r>
        <w:t xml:space="preserve">2. Zahlungsverpflichtungen unwiderruflich und unkündbar sind;</w:t>
      </w:r>
    </w:p>
    <w:p>
      <w:pPr>
        <w:ind w:left="420"/>
      </w:pPr>
      <w:r>
        <w:t xml:space="preserve">3. die jeweilige Zahlungsverpflichtung durch bestimmte Finanzsicherheiten nach Maßgabe der §§ 25 bis 30 besichert wird;</w:t>
      </w:r>
    </w:p>
    <w:p>
      <w:pPr>
        <w:ind w:left="420"/>
      </w:pPr>
      <w:r>
        <w:t xml:space="preserve">4. sich das CRR-Kreditinstitut der sofortigen Vollstreckung bezüglich der Zahlungsverpflichtung unterwirft (§ 61 Absatz 1 des Verwaltungsverfahrensgesetzes);</w:t>
      </w:r>
    </w:p>
    <w:p>
      <w:pPr>
        <w:ind w:left="420"/>
      </w:pPr>
      <w:r>
        <w:t xml:space="preserve">5. die Übertragung von Verträgen über Zahlungsverpflichtungen auf andere CRR-Kreditinstitute nach Maßgabe des § 24 zulässig ist;</w:t>
      </w:r>
    </w:p>
    <w:p>
      <w:pPr>
        <w:ind w:left="420"/>
      </w:pPr>
      <w:r>
        <w:t xml:space="preserve">6. das CRR-Kreditinstitut gegenüber der Entschädigungseinrichtung zur Anzeige aller Umstände nach Maßgabe des § 31 verpflichtet ist und</w:t>
      </w:r>
    </w:p>
    <w:p>
      <w:pPr>
        <w:ind w:left="420"/>
      </w:pPr>
      <w:r>
        <w:t xml:space="preserve">7. Verträge über die Übernahme von Zahlungsverpflichtungen den Erlass von Beitragsbescheiden in Höhe der durch die Zahlungsverpflichtungen erbrachten Beträge nach § 4 Absatz 1 entbehrlich machen (§ 54 Satz 2 des Verwaltungsverfahrensgesetzes).</w:t>
      </w:r>
    </w:p>
    <w:p>
      <w:r>
        <w:t xml:space="preserve">(2) Die Entschädigungseinrichtung verwendet für die Verträge über die Übernahme von Zahlungsverpflichtungen ein einheitliches Vertragsmuster, das als Anlage zu dem Rahmenvertrag nach § 21 vereinbart wird. Das Vertragsmuster ist der Bundesanstalt anzuzeigen.</w:t>
      </w:r>
    </w:p>
    <w:p>
      <w:r>
        <w:rPr>
          <w:color w:val="555555"/>
          <w:sz w:val="17"/>
        </w:rPr>
        <w:t xml:space="preserve">Zitiervorschlag: § 22 EntschFinV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https://recht.nulegal.eu/gesetze/EntschFinV/22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